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4DAF" w:rsidRDefault="00674DAF" w:rsidP="00674DAF">
      <w:pPr>
        <w:pStyle w:val="Heading1"/>
      </w:pPr>
      <w:r>
        <w:t>CPIA Frequently Asked Questions</w:t>
      </w:r>
    </w:p>
    <w:p w:rsidR="00674DAF" w:rsidRDefault="00674DAF" w:rsidP="0044701E">
      <w:pPr>
        <w:spacing w:after="0" w:line="240" w:lineRule="auto"/>
        <w:rPr>
          <w:rFonts w:ascii="Verdana" w:hAnsi="Verdana"/>
          <w:b/>
          <w:sz w:val="20"/>
          <w:szCs w:val="20"/>
        </w:rPr>
      </w:pPr>
    </w:p>
    <w:p w:rsidR="00674DAF" w:rsidRDefault="00674DAF" w:rsidP="0044701E">
      <w:pPr>
        <w:spacing w:after="0" w:line="240" w:lineRule="auto"/>
        <w:rPr>
          <w:rFonts w:ascii="Verdana" w:hAnsi="Verdana"/>
          <w:b/>
          <w:sz w:val="20"/>
          <w:szCs w:val="20"/>
        </w:rPr>
      </w:pPr>
    </w:p>
    <w:p w:rsidR="00674DAF" w:rsidRDefault="00674DAF" w:rsidP="0044701E">
      <w:pPr>
        <w:spacing w:after="0" w:line="240" w:lineRule="auto"/>
        <w:rPr>
          <w:rFonts w:ascii="Verdana" w:hAnsi="Verdana"/>
          <w:b/>
          <w:sz w:val="20"/>
          <w:szCs w:val="20"/>
        </w:rPr>
      </w:pPr>
      <w:r>
        <w:rPr>
          <w:rFonts w:ascii="Verdana" w:hAnsi="Verdana"/>
          <w:b/>
          <w:sz w:val="20"/>
          <w:szCs w:val="20"/>
        </w:rPr>
        <w:t>Will CPIA cause an influx of requests that the FBI may not be able to handle, especially since there is already a backlog of requests?</w:t>
      </w:r>
    </w:p>
    <w:p w:rsidR="00674DAF" w:rsidRDefault="00674DAF" w:rsidP="0044701E">
      <w:pPr>
        <w:spacing w:after="0" w:line="240" w:lineRule="auto"/>
        <w:rPr>
          <w:rFonts w:ascii="Verdana" w:hAnsi="Verdana"/>
          <w:sz w:val="20"/>
          <w:szCs w:val="20"/>
        </w:rPr>
      </w:pPr>
    </w:p>
    <w:p w:rsidR="00674DAF" w:rsidRDefault="00674DAF" w:rsidP="0044701E">
      <w:pPr>
        <w:spacing w:after="0" w:line="240" w:lineRule="auto"/>
        <w:rPr>
          <w:rFonts w:ascii="Verdana" w:hAnsi="Verdana"/>
          <w:sz w:val="20"/>
          <w:szCs w:val="20"/>
        </w:rPr>
      </w:pPr>
      <w:r>
        <w:rPr>
          <w:rFonts w:ascii="Verdana" w:hAnsi="Verdana"/>
          <w:sz w:val="20"/>
          <w:szCs w:val="20"/>
        </w:rPr>
        <w:t xml:space="preserve">First, CPIA does NOT create a mandate requiring organizations serving vulnerable populations to conduct FBI background checks on staff or volunteers. While the FBI may see an increase in requests, should CPIA become law, it is not expected that the increase will be overwhelming as a result of CPIA. </w:t>
      </w:r>
    </w:p>
    <w:p w:rsidR="00674DAF" w:rsidRDefault="00674DAF" w:rsidP="0044701E">
      <w:pPr>
        <w:spacing w:after="0" w:line="240" w:lineRule="auto"/>
        <w:rPr>
          <w:rFonts w:ascii="Verdana" w:hAnsi="Verdana"/>
          <w:sz w:val="20"/>
          <w:szCs w:val="20"/>
        </w:rPr>
      </w:pPr>
    </w:p>
    <w:p w:rsidR="00674DAF" w:rsidRDefault="00674DAF" w:rsidP="0044701E">
      <w:pPr>
        <w:spacing w:after="0" w:line="240" w:lineRule="auto"/>
        <w:rPr>
          <w:rFonts w:ascii="Verdana" w:hAnsi="Verdana"/>
          <w:sz w:val="20"/>
          <w:szCs w:val="20"/>
        </w:rPr>
      </w:pPr>
      <w:r>
        <w:rPr>
          <w:rFonts w:ascii="Verdana" w:hAnsi="Verdana"/>
          <w:sz w:val="20"/>
          <w:szCs w:val="20"/>
        </w:rPr>
        <w:t xml:space="preserve">Second, as a result of the new background check requirements in CCDBG, the FBI will likely experience an increased volume of requests from child care providers serving children 12 years old and younger. </w:t>
      </w:r>
    </w:p>
    <w:p w:rsidR="00674DAF" w:rsidRDefault="00674DAF" w:rsidP="0044701E">
      <w:pPr>
        <w:spacing w:after="0" w:line="240" w:lineRule="auto"/>
        <w:rPr>
          <w:rFonts w:ascii="Verdana" w:hAnsi="Verdana"/>
          <w:sz w:val="20"/>
          <w:szCs w:val="20"/>
        </w:rPr>
      </w:pPr>
    </w:p>
    <w:p w:rsidR="00674DAF" w:rsidRDefault="00674DAF" w:rsidP="0044701E">
      <w:pPr>
        <w:spacing w:after="0" w:line="240" w:lineRule="auto"/>
        <w:rPr>
          <w:rFonts w:ascii="Verdana" w:hAnsi="Verdana"/>
          <w:sz w:val="20"/>
          <w:szCs w:val="20"/>
        </w:rPr>
      </w:pPr>
      <w:r>
        <w:rPr>
          <w:rFonts w:ascii="Verdana" w:hAnsi="Verdana"/>
          <w:sz w:val="20"/>
          <w:szCs w:val="20"/>
        </w:rPr>
        <w:t xml:space="preserve">Regardless of the driver, ANY increase in requests for FBI background checks from organizations serving children and other vulnerable populations should be viewed as a safety measure to prevent neglect and abuse, including sexual abuse. </w:t>
      </w:r>
    </w:p>
    <w:p w:rsidR="00674DAF" w:rsidRDefault="00674DAF" w:rsidP="0044701E">
      <w:pPr>
        <w:spacing w:after="0" w:line="240" w:lineRule="auto"/>
        <w:rPr>
          <w:rFonts w:ascii="Verdana" w:hAnsi="Verdana"/>
          <w:sz w:val="20"/>
          <w:szCs w:val="20"/>
        </w:rPr>
      </w:pPr>
    </w:p>
    <w:p w:rsidR="00674DAF" w:rsidRDefault="00674DAF" w:rsidP="00674DAF">
      <w:pPr>
        <w:spacing w:after="0" w:line="240" w:lineRule="auto"/>
        <w:rPr>
          <w:rFonts w:ascii="Verdana" w:hAnsi="Verdana"/>
          <w:sz w:val="20"/>
          <w:szCs w:val="20"/>
        </w:rPr>
      </w:pPr>
      <w:r>
        <w:rPr>
          <w:rFonts w:ascii="Verdana" w:hAnsi="Verdana"/>
          <w:sz w:val="20"/>
          <w:szCs w:val="20"/>
        </w:rPr>
        <w:t>Finally, the FBI has not indicated that a backlog of requests exists.</w:t>
      </w:r>
    </w:p>
    <w:p w:rsidR="00674DAF" w:rsidRPr="00674DAF" w:rsidRDefault="00674DAF" w:rsidP="0044701E">
      <w:pPr>
        <w:spacing w:after="0" w:line="240" w:lineRule="auto"/>
        <w:rPr>
          <w:rFonts w:ascii="Verdana" w:hAnsi="Verdana"/>
          <w:sz w:val="20"/>
          <w:szCs w:val="20"/>
        </w:rPr>
      </w:pPr>
    </w:p>
    <w:p w:rsidR="00674DAF" w:rsidRDefault="00674DAF" w:rsidP="0044701E">
      <w:pPr>
        <w:spacing w:after="0" w:line="240" w:lineRule="auto"/>
        <w:rPr>
          <w:rFonts w:ascii="Verdana" w:hAnsi="Verdana"/>
          <w:b/>
          <w:sz w:val="20"/>
          <w:szCs w:val="20"/>
        </w:rPr>
      </w:pPr>
    </w:p>
    <w:p w:rsidR="00674DAF" w:rsidRDefault="00674DAF" w:rsidP="0044701E">
      <w:pPr>
        <w:spacing w:after="0" w:line="240" w:lineRule="auto"/>
        <w:rPr>
          <w:rFonts w:ascii="Verdana" w:hAnsi="Verdana"/>
          <w:b/>
          <w:sz w:val="20"/>
          <w:szCs w:val="20"/>
        </w:rPr>
      </w:pPr>
      <w:r>
        <w:rPr>
          <w:rFonts w:ascii="Verdana" w:hAnsi="Verdana"/>
          <w:b/>
          <w:sz w:val="20"/>
          <w:szCs w:val="20"/>
        </w:rPr>
        <w:t>CPIA will require the FBI to make fitness determinations.</w:t>
      </w:r>
    </w:p>
    <w:p w:rsidR="00674DAF" w:rsidRDefault="00674DAF" w:rsidP="0044701E">
      <w:pPr>
        <w:spacing w:after="0" w:line="240" w:lineRule="auto"/>
        <w:rPr>
          <w:rFonts w:ascii="Verdana" w:hAnsi="Verdana"/>
          <w:b/>
          <w:sz w:val="20"/>
          <w:szCs w:val="20"/>
        </w:rPr>
      </w:pPr>
    </w:p>
    <w:p w:rsidR="00674DAF" w:rsidRDefault="00674DAF" w:rsidP="00674DAF">
      <w:pPr>
        <w:spacing w:line="276" w:lineRule="auto"/>
        <w:rPr>
          <w:rFonts w:ascii="Verdana" w:hAnsi="Verdana"/>
          <w:sz w:val="20"/>
          <w:szCs w:val="20"/>
        </w:rPr>
      </w:pPr>
      <w:r>
        <w:rPr>
          <w:rFonts w:ascii="Verdana" w:hAnsi="Verdana"/>
          <w:sz w:val="20"/>
          <w:szCs w:val="20"/>
        </w:rPr>
        <w:t>Under CPIA, t</w:t>
      </w:r>
      <w:r w:rsidRPr="00674DAF">
        <w:rPr>
          <w:rFonts w:ascii="Verdana" w:hAnsi="Verdana"/>
          <w:sz w:val="20"/>
          <w:szCs w:val="20"/>
        </w:rPr>
        <w:t xml:space="preserve">he FBI will NOT </w:t>
      </w:r>
      <w:r>
        <w:rPr>
          <w:rFonts w:ascii="Verdana" w:hAnsi="Verdana"/>
          <w:sz w:val="20"/>
          <w:szCs w:val="20"/>
        </w:rPr>
        <w:t xml:space="preserve">be responsible for making fitness determinations. The Attorney General will identify a ‘criminal history review designee.’ This entity will make determinations regarding whether the criminal history records received indicate that the individual has a criminal history that may bear on his/her fitness to provide care to vulnerable populations. Additionally, </w:t>
      </w:r>
      <w:r w:rsidRPr="00674DAF">
        <w:rPr>
          <w:rFonts w:ascii="Verdana" w:hAnsi="Verdana"/>
          <w:sz w:val="20"/>
          <w:szCs w:val="20"/>
        </w:rPr>
        <w:t>this entity will convey the fitness and suitability of the individual to the requesting organization</w:t>
      </w:r>
      <w:r>
        <w:rPr>
          <w:rFonts w:ascii="Verdana" w:hAnsi="Verdana"/>
          <w:sz w:val="20"/>
          <w:szCs w:val="20"/>
        </w:rPr>
        <w:t xml:space="preserve">. In determining fitness, the ‘criminal history review designee’ will use the criteria set in federal law such as the Volunteers for Children Act, the Serve America Act and the Adam Walsh Child Protection and Safety Act. </w:t>
      </w:r>
    </w:p>
    <w:p w:rsidR="00674DAF" w:rsidRDefault="00674DAF" w:rsidP="0044701E">
      <w:pPr>
        <w:spacing w:after="0" w:line="240" w:lineRule="auto"/>
        <w:rPr>
          <w:rFonts w:ascii="Verdana" w:hAnsi="Verdana"/>
          <w:sz w:val="20"/>
          <w:szCs w:val="20"/>
        </w:rPr>
      </w:pPr>
      <w:r w:rsidRPr="00674DAF">
        <w:rPr>
          <w:rFonts w:ascii="Verdana" w:hAnsi="Verdana"/>
          <w:sz w:val="20"/>
          <w:szCs w:val="20"/>
        </w:rPr>
        <w:t xml:space="preserve">Decisions regarding </w:t>
      </w:r>
      <w:r>
        <w:rPr>
          <w:rFonts w:ascii="Verdana" w:hAnsi="Verdana"/>
          <w:sz w:val="20"/>
          <w:szCs w:val="20"/>
        </w:rPr>
        <w:t xml:space="preserve">employment or volunteerism will be left to the requesting organization. Nothing in CPIA would prevent an individual with a flagged record from working with the requesting organization. </w:t>
      </w:r>
    </w:p>
    <w:p w:rsidR="00674DAF" w:rsidRDefault="00674DAF" w:rsidP="0044701E">
      <w:pPr>
        <w:spacing w:after="0" w:line="240" w:lineRule="auto"/>
        <w:rPr>
          <w:rFonts w:ascii="Verdana" w:hAnsi="Verdana"/>
          <w:sz w:val="20"/>
          <w:szCs w:val="20"/>
        </w:rPr>
      </w:pPr>
    </w:p>
    <w:p w:rsidR="00674DAF" w:rsidRPr="00674DAF" w:rsidRDefault="00674DAF" w:rsidP="00674DAF">
      <w:pPr>
        <w:spacing w:line="276" w:lineRule="auto"/>
        <w:rPr>
          <w:rFonts w:ascii="Verdana" w:hAnsi="Verdana"/>
          <w:sz w:val="20"/>
          <w:szCs w:val="20"/>
        </w:rPr>
      </w:pPr>
      <w:r>
        <w:rPr>
          <w:rFonts w:ascii="Verdana" w:hAnsi="Verdana"/>
          <w:sz w:val="20"/>
          <w:szCs w:val="20"/>
        </w:rPr>
        <w:t xml:space="preserve">The ‘criminal history review designee’ will also convey to the requesting organization </w:t>
      </w:r>
      <w:r w:rsidRPr="00674DAF">
        <w:rPr>
          <w:rFonts w:ascii="Verdana" w:hAnsi="Verdana"/>
          <w:sz w:val="20"/>
          <w:szCs w:val="20"/>
        </w:rPr>
        <w:t>instructions and guidance that the covered entity should consult with the Equal Employment Opportunity Commission Enforcement Guidance (on unlawful harassment).</w:t>
      </w:r>
    </w:p>
    <w:p w:rsidR="00674DAF" w:rsidRPr="00674DAF" w:rsidRDefault="00674DAF" w:rsidP="0044701E">
      <w:pPr>
        <w:spacing w:after="0" w:line="240" w:lineRule="auto"/>
        <w:rPr>
          <w:rFonts w:ascii="Verdana" w:hAnsi="Verdana"/>
          <w:b/>
          <w:sz w:val="20"/>
          <w:szCs w:val="20"/>
        </w:rPr>
      </w:pPr>
    </w:p>
    <w:p w:rsidR="00674DAF" w:rsidRPr="00674DAF" w:rsidRDefault="00674DAF">
      <w:pPr>
        <w:spacing w:line="276" w:lineRule="auto"/>
        <w:rPr>
          <w:rFonts w:ascii="Verdana" w:hAnsi="Verdana"/>
          <w:b/>
          <w:sz w:val="20"/>
          <w:szCs w:val="20"/>
        </w:rPr>
      </w:pPr>
      <w:r w:rsidRPr="00674DAF">
        <w:rPr>
          <w:rFonts w:ascii="Verdana" w:hAnsi="Verdana"/>
          <w:b/>
          <w:sz w:val="20"/>
          <w:szCs w:val="20"/>
        </w:rPr>
        <w:t>Will CPIA enable those falsely accused to address their record?</w:t>
      </w:r>
    </w:p>
    <w:p w:rsidR="00674DAF" w:rsidRDefault="00674DAF">
      <w:pPr>
        <w:spacing w:line="276" w:lineRule="auto"/>
        <w:rPr>
          <w:rFonts w:ascii="Verdana" w:hAnsi="Verdana"/>
          <w:sz w:val="20"/>
          <w:szCs w:val="20"/>
        </w:rPr>
      </w:pPr>
      <w:r w:rsidRPr="00674DAF">
        <w:rPr>
          <w:rFonts w:ascii="Verdana" w:hAnsi="Verdana"/>
          <w:sz w:val="20"/>
          <w:szCs w:val="20"/>
        </w:rPr>
        <w:t xml:space="preserve">CPIA includes language regarding </w:t>
      </w:r>
      <w:r>
        <w:rPr>
          <w:rFonts w:ascii="Verdana" w:hAnsi="Verdana"/>
          <w:sz w:val="20"/>
          <w:szCs w:val="20"/>
        </w:rPr>
        <w:t xml:space="preserve">a </w:t>
      </w:r>
      <w:r w:rsidRPr="00674DAF">
        <w:rPr>
          <w:rFonts w:ascii="Verdana" w:hAnsi="Verdana"/>
          <w:sz w:val="20"/>
          <w:szCs w:val="20"/>
        </w:rPr>
        <w:t xml:space="preserve">challenge to </w:t>
      </w:r>
      <w:r>
        <w:rPr>
          <w:rFonts w:ascii="Verdana" w:hAnsi="Verdana"/>
          <w:sz w:val="20"/>
          <w:szCs w:val="20"/>
        </w:rPr>
        <w:t xml:space="preserve">the </w:t>
      </w:r>
      <w:r w:rsidRPr="00674DAF">
        <w:rPr>
          <w:rFonts w:ascii="Verdana" w:hAnsi="Verdana"/>
          <w:sz w:val="20"/>
          <w:szCs w:val="20"/>
        </w:rPr>
        <w:t xml:space="preserve">completeness of </w:t>
      </w:r>
      <w:r>
        <w:rPr>
          <w:rFonts w:ascii="Verdana" w:hAnsi="Verdana"/>
          <w:sz w:val="20"/>
          <w:szCs w:val="20"/>
        </w:rPr>
        <w:t xml:space="preserve">an individual’s </w:t>
      </w:r>
      <w:r w:rsidRPr="00674DAF">
        <w:rPr>
          <w:rFonts w:ascii="Verdana" w:hAnsi="Verdana"/>
          <w:sz w:val="20"/>
          <w:szCs w:val="20"/>
        </w:rPr>
        <w:t>record.</w:t>
      </w:r>
      <w:r>
        <w:rPr>
          <w:rFonts w:ascii="Verdana" w:hAnsi="Verdana"/>
          <w:sz w:val="20"/>
          <w:szCs w:val="20"/>
        </w:rPr>
        <w:t xml:space="preserve"> An individual may challenge the completeness of any information in their criminal history record by contacting the FBI under the procedures set out in section 16.34 of title 28, Code of Federal Regulations (or any successor of this code).</w:t>
      </w:r>
    </w:p>
    <w:p w:rsidR="00CA113D" w:rsidRDefault="00CA113D" w:rsidP="00674DAF">
      <w:pPr>
        <w:spacing w:line="276" w:lineRule="auto"/>
        <w:rPr>
          <w:rFonts w:ascii="Verdana" w:hAnsi="Verdana"/>
          <w:b/>
          <w:sz w:val="20"/>
          <w:szCs w:val="20"/>
        </w:rPr>
      </w:pPr>
      <w:r>
        <w:rPr>
          <w:rFonts w:ascii="Verdana" w:hAnsi="Verdana"/>
          <w:b/>
          <w:sz w:val="20"/>
          <w:szCs w:val="20"/>
        </w:rPr>
        <w:t>What is the problem that CPIA seeks to address?</w:t>
      </w:r>
    </w:p>
    <w:p w:rsidR="00CA113D" w:rsidRPr="00CA113D" w:rsidRDefault="00CA113D" w:rsidP="0044701E">
      <w:pPr>
        <w:spacing w:after="0" w:line="240" w:lineRule="auto"/>
        <w:rPr>
          <w:rFonts w:ascii="Verdana" w:hAnsi="Verdana"/>
          <w:sz w:val="20"/>
          <w:szCs w:val="20"/>
        </w:rPr>
      </w:pPr>
      <w:r w:rsidRPr="00CA113D">
        <w:rPr>
          <w:rFonts w:ascii="Verdana" w:hAnsi="Verdana"/>
          <w:sz w:val="20"/>
          <w:szCs w:val="20"/>
        </w:rPr>
        <w:t>One in four girls and one in six boys are sexually abused by age 18.</w:t>
      </w:r>
      <w:r>
        <w:rPr>
          <w:rFonts w:ascii="Verdana" w:hAnsi="Verdana"/>
          <w:sz w:val="20"/>
          <w:szCs w:val="20"/>
        </w:rPr>
        <w:t xml:space="preserve"> But child sexual abuse is preventable and FBI background checks are a critical tool in reducing the potential for abuse or neglect.</w:t>
      </w:r>
    </w:p>
    <w:p w:rsidR="00CA113D" w:rsidRDefault="00CA113D" w:rsidP="0044701E">
      <w:pPr>
        <w:spacing w:after="0" w:line="240" w:lineRule="auto"/>
        <w:rPr>
          <w:rFonts w:ascii="Verdana" w:hAnsi="Verdana"/>
          <w:b/>
          <w:sz w:val="20"/>
          <w:szCs w:val="20"/>
        </w:rPr>
      </w:pPr>
    </w:p>
    <w:p w:rsidR="00602D39" w:rsidRPr="0044701E" w:rsidRDefault="0044701E" w:rsidP="0044701E">
      <w:pPr>
        <w:spacing w:after="0" w:line="240" w:lineRule="auto"/>
        <w:rPr>
          <w:rFonts w:ascii="Verdana" w:hAnsi="Verdana"/>
          <w:b/>
          <w:sz w:val="20"/>
          <w:szCs w:val="20"/>
        </w:rPr>
      </w:pPr>
      <w:r w:rsidRPr="0044701E">
        <w:rPr>
          <w:rFonts w:ascii="Verdana" w:hAnsi="Verdana"/>
          <w:b/>
          <w:sz w:val="20"/>
          <w:szCs w:val="20"/>
        </w:rPr>
        <w:t xml:space="preserve">Why is CPIA needed when we have </w:t>
      </w:r>
      <w:r>
        <w:rPr>
          <w:rFonts w:ascii="Verdana" w:hAnsi="Verdana"/>
          <w:b/>
          <w:sz w:val="20"/>
          <w:szCs w:val="20"/>
        </w:rPr>
        <w:t xml:space="preserve">other federal laws including </w:t>
      </w:r>
      <w:r w:rsidRPr="0044701E">
        <w:rPr>
          <w:rFonts w:ascii="Verdana" w:hAnsi="Verdana"/>
          <w:b/>
          <w:sz w:val="20"/>
          <w:szCs w:val="20"/>
        </w:rPr>
        <w:t>the</w:t>
      </w:r>
      <w:r w:rsidR="00230780">
        <w:rPr>
          <w:rFonts w:ascii="Verdana" w:hAnsi="Verdana"/>
          <w:b/>
          <w:sz w:val="20"/>
          <w:szCs w:val="20"/>
        </w:rPr>
        <w:t xml:space="preserve"> National Child Protection Act as amended by </w:t>
      </w:r>
      <w:r w:rsidRPr="0044701E">
        <w:rPr>
          <w:rFonts w:ascii="Verdana" w:hAnsi="Verdana"/>
          <w:b/>
          <w:sz w:val="20"/>
          <w:szCs w:val="20"/>
        </w:rPr>
        <w:t>the Volunteers for Children Act</w:t>
      </w:r>
      <w:r w:rsidR="00230780">
        <w:rPr>
          <w:rFonts w:ascii="Verdana" w:hAnsi="Verdana"/>
          <w:b/>
          <w:sz w:val="20"/>
          <w:szCs w:val="20"/>
        </w:rPr>
        <w:t>, the Adam Walsh Child Protection and Safety Act, and the Violent Crime Control Act</w:t>
      </w:r>
      <w:r w:rsidRPr="0044701E">
        <w:rPr>
          <w:rFonts w:ascii="Verdana" w:hAnsi="Verdana"/>
          <w:b/>
          <w:sz w:val="20"/>
          <w:szCs w:val="20"/>
        </w:rPr>
        <w:t>?</w:t>
      </w:r>
    </w:p>
    <w:p w:rsidR="00674DAF" w:rsidRDefault="00674DAF" w:rsidP="0044701E">
      <w:pPr>
        <w:tabs>
          <w:tab w:val="left" w:pos="3060"/>
        </w:tabs>
        <w:spacing w:after="0" w:line="240" w:lineRule="auto"/>
        <w:rPr>
          <w:rFonts w:ascii="Verdana" w:hAnsi="Verdana"/>
          <w:sz w:val="20"/>
          <w:szCs w:val="20"/>
        </w:rPr>
      </w:pPr>
    </w:p>
    <w:p w:rsidR="0044701E" w:rsidRPr="0044701E" w:rsidRDefault="0044701E" w:rsidP="0044701E">
      <w:pPr>
        <w:tabs>
          <w:tab w:val="left" w:pos="3060"/>
        </w:tabs>
        <w:spacing w:after="0" w:line="240" w:lineRule="auto"/>
        <w:rPr>
          <w:rFonts w:ascii="Verdana" w:hAnsi="Verdana"/>
          <w:sz w:val="20"/>
          <w:szCs w:val="20"/>
        </w:rPr>
      </w:pPr>
      <w:r w:rsidRPr="0044701E">
        <w:rPr>
          <w:rFonts w:ascii="Verdana" w:hAnsi="Verdana"/>
          <w:sz w:val="20"/>
          <w:szCs w:val="20"/>
        </w:rPr>
        <w:t xml:space="preserve">The current system of background checks for volunteer organizations has been shaped by the National Child Protection Act of 1993 (NCPA), the Violent Crime Control Act of 1994, and the Volunteers for Children Act (part of the Crime Identification Act of 1998).  Prior to 1993, volunteer organizations in most states were not legally allowed to obtain national criminal background checks on their volunteers.  </w:t>
      </w:r>
    </w:p>
    <w:p w:rsidR="0044701E" w:rsidRPr="0044701E" w:rsidRDefault="0044701E" w:rsidP="0044701E">
      <w:pPr>
        <w:tabs>
          <w:tab w:val="left" w:pos="3060"/>
        </w:tabs>
        <w:spacing w:after="0" w:line="240" w:lineRule="auto"/>
        <w:rPr>
          <w:rFonts w:ascii="Verdana" w:hAnsi="Verdana"/>
          <w:sz w:val="20"/>
          <w:szCs w:val="20"/>
        </w:rPr>
      </w:pPr>
    </w:p>
    <w:p w:rsidR="0044701E" w:rsidRPr="0044701E" w:rsidRDefault="0044701E" w:rsidP="0044701E">
      <w:pPr>
        <w:tabs>
          <w:tab w:val="left" w:pos="360"/>
          <w:tab w:val="left" w:pos="3060"/>
        </w:tabs>
        <w:autoSpaceDE w:val="0"/>
        <w:autoSpaceDN w:val="0"/>
        <w:adjustRightInd w:val="0"/>
        <w:spacing w:after="0" w:line="240" w:lineRule="auto"/>
        <w:rPr>
          <w:rFonts w:ascii="Verdana" w:hAnsi="Verdana"/>
          <w:sz w:val="20"/>
          <w:szCs w:val="20"/>
        </w:rPr>
      </w:pPr>
      <w:r w:rsidRPr="0044701E">
        <w:rPr>
          <w:rFonts w:ascii="Verdana" w:hAnsi="Verdana"/>
          <w:sz w:val="20"/>
          <w:szCs w:val="20"/>
        </w:rPr>
        <w:t xml:space="preserve">The 1993 NCPA encouraged states to adopt legislation that would allow volunteer organizations working with children perform criminal background checks on volunteers or employees.  The Violent Crime Control Act expanded the scope of this to include organizations serving the elderly and individuals with disabilities.  However, </w:t>
      </w:r>
      <w:r w:rsidRPr="00230780">
        <w:rPr>
          <w:rFonts w:ascii="Verdana" w:hAnsi="Verdana"/>
          <w:sz w:val="20"/>
          <w:szCs w:val="20"/>
          <w:u w:val="single"/>
        </w:rPr>
        <w:t>most states did not choose to enact the authorizing legislation suggested by NCPA</w:t>
      </w:r>
      <w:r w:rsidRPr="0044701E">
        <w:rPr>
          <w:rFonts w:ascii="Verdana" w:hAnsi="Verdana"/>
          <w:sz w:val="20"/>
          <w:szCs w:val="20"/>
        </w:rPr>
        <w:t xml:space="preserve">, so again youth serving organizations in many states were left without the ability to obtain national criminal background checks.  </w:t>
      </w:r>
    </w:p>
    <w:p w:rsidR="0044701E" w:rsidRPr="0044701E" w:rsidRDefault="0044701E" w:rsidP="0044701E">
      <w:pPr>
        <w:tabs>
          <w:tab w:val="left" w:pos="360"/>
          <w:tab w:val="left" w:pos="3060"/>
        </w:tabs>
        <w:autoSpaceDE w:val="0"/>
        <w:autoSpaceDN w:val="0"/>
        <w:adjustRightInd w:val="0"/>
        <w:spacing w:after="0" w:line="240" w:lineRule="auto"/>
        <w:rPr>
          <w:rFonts w:ascii="Verdana" w:hAnsi="Verdana"/>
          <w:sz w:val="20"/>
          <w:szCs w:val="20"/>
        </w:rPr>
      </w:pPr>
    </w:p>
    <w:p w:rsidR="0044701E" w:rsidRPr="0044701E" w:rsidRDefault="0044701E" w:rsidP="0044701E">
      <w:pPr>
        <w:tabs>
          <w:tab w:val="left" w:pos="360"/>
          <w:tab w:val="left" w:pos="3060"/>
        </w:tabs>
        <w:autoSpaceDE w:val="0"/>
        <w:autoSpaceDN w:val="0"/>
        <w:adjustRightInd w:val="0"/>
        <w:spacing w:after="0" w:line="240" w:lineRule="auto"/>
        <w:rPr>
          <w:rFonts w:ascii="Verdana" w:hAnsi="Verdana"/>
          <w:sz w:val="20"/>
          <w:szCs w:val="20"/>
        </w:rPr>
      </w:pPr>
      <w:r w:rsidRPr="0044701E">
        <w:rPr>
          <w:rFonts w:ascii="Verdana" w:hAnsi="Verdana"/>
          <w:sz w:val="20"/>
          <w:szCs w:val="20"/>
        </w:rPr>
        <w:t xml:space="preserve">The Volunteers for Children Act of 1998 somewhat rectified this situation.  Due to this law, volunteer organizations serving children, the elderly, and individuals with disabilities are now allowed to request background checks regardless of whether or not the state has </w:t>
      </w:r>
      <w:r w:rsidR="00230780">
        <w:rPr>
          <w:rFonts w:ascii="Verdana" w:hAnsi="Verdana"/>
          <w:sz w:val="20"/>
          <w:szCs w:val="20"/>
        </w:rPr>
        <w:t>passed authorizing legislation.</w:t>
      </w:r>
      <w:r w:rsidRPr="0044701E">
        <w:rPr>
          <w:rFonts w:ascii="Verdana" w:hAnsi="Verdana"/>
          <w:sz w:val="20"/>
          <w:szCs w:val="20"/>
        </w:rPr>
        <w:t xml:space="preserve"> However, </w:t>
      </w:r>
      <w:r w:rsidRPr="00230780">
        <w:rPr>
          <w:rFonts w:ascii="Verdana" w:hAnsi="Verdana"/>
          <w:sz w:val="20"/>
          <w:szCs w:val="20"/>
          <w:u w:val="single"/>
        </w:rPr>
        <w:t>it is left to each state’s discretion to determine which types of human service organizations should be designated as “qualified entities” able to apply for national background checks through the state agencies.</w:t>
      </w:r>
      <w:r w:rsidRPr="0044701E">
        <w:rPr>
          <w:rFonts w:ascii="Verdana" w:hAnsi="Verdana"/>
          <w:sz w:val="20"/>
          <w:szCs w:val="20"/>
        </w:rPr>
        <w:t xml:space="preserve">  And, the state must select an agency to run the background checks and create an appropriate process.  </w:t>
      </w:r>
    </w:p>
    <w:p w:rsidR="0044701E" w:rsidRPr="0044701E" w:rsidRDefault="0044701E" w:rsidP="0044701E">
      <w:pPr>
        <w:tabs>
          <w:tab w:val="left" w:pos="360"/>
          <w:tab w:val="left" w:pos="3060"/>
        </w:tabs>
        <w:autoSpaceDE w:val="0"/>
        <w:autoSpaceDN w:val="0"/>
        <w:adjustRightInd w:val="0"/>
        <w:spacing w:after="0" w:line="240" w:lineRule="auto"/>
        <w:rPr>
          <w:rFonts w:ascii="Verdana" w:hAnsi="Verdana"/>
          <w:sz w:val="20"/>
          <w:szCs w:val="20"/>
        </w:rPr>
      </w:pPr>
    </w:p>
    <w:p w:rsidR="0044701E" w:rsidRDefault="0044701E" w:rsidP="00230780">
      <w:pPr>
        <w:spacing w:after="0" w:line="240" w:lineRule="auto"/>
        <w:rPr>
          <w:rFonts w:ascii="Verdana" w:hAnsi="Verdana"/>
          <w:sz w:val="20"/>
          <w:szCs w:val="20"/>
        </w:rPr>
      </w:pPr>
      <w:r w:rsidRPr="0044701E">
        <w:rPr>
          <w:rFonts w:ascii="Verdana" w:hAnsi="Verdana"/>
          <w:sz w:val="20"/>
          <w:szCs w:val="20"/>
        </w:rPr>
        <w:t>While this law did improve the situation in some states, in other states it led to additional problems</w:t>
      </w:r>
      <w:r w:rsidR="00230780">
        <w:rPr>
          <w:rFonts w:ascii="Verdana" w:hAnsi="Verdana"/>
          <w:sz w:val="20"/>
          <w:szCs w:val="20"/>
        </w:rPr>
        <w:t xml:space="preserve"> </w:t>
      </w:r>
      <w:r w:rsidRPr="0044701E">
        <w:rPr>
          <w:rFonts w:ascii="Verdana" w:hAnsi="Verdana"/>
          <w:sz w:val="20"/>
          <w:szCs w:val="20"/>
        </w:rPr>
        <w:t>which again mean that human service organizations are often unable to obtain national crimi</w:t>
      </w:r>
      <w:r w:rsidR="00230780">
        <w:rPr>
          <w:rFonts w:ascii="Verdana" w:hAnsi="Verdana"/>
          <w:sz w:val="20"/>
          <w:szCs w:val="20"/>
        </w:rPr>
        <w:t>nal record checks.</w:t>
      </w:r>
    </w:p>
    <w:p w:rsidR="00230780" w:rsidRDefault="00230780" w:rsidP="00230780">
      <w:pPr>
        <w:spacing w:after="0" w:line="240" w:lineRule="auto"/>
        <w:rPr>
          <w:rFonts w:ascii="Verdana" w:hAnsi="Verdana"/>
          <w:sz w:val="20"/>
          <w:szCs w:val="20"/>
        </w:rPr>
      </w:pPr>
    </w:p>
    <w:p w:rsidR="00230780" w:rsidRPr="0044701E" w:rsidRDefault="0077251F" w:rsidP="00230780">
      <w:pPr>
        <w:spacing w:after="0" w:line="240" w:lineRule="auto"/>
        <w:rPr>
          <w:rFonts w:ascii="Verdana" w:hAnsi="Verdana"/>
          <w:sz w:val="20"/>
          <w:szCs w:val="20"/>
        </w:rPr>
      </w:pPr>
      <w:r>
        <w:rPr>
          <w:rFonts w:ascii="Verdana" w:hAnsi="Verdana"/>
          <w:sz w:val="20"/>
          <w:szCs w:val="20"/>
        </w:rPr>
        <w:t xml:space="preserve">In short, while Congress has enacted several legislative initiatives that give federal and state agencies the authority to perform state and national fingerprint-based criminal history record checks on specific types of individuals, there a holes that enable far too many organizations serving youth and other vulnerable populations to be left out of the process and unable to gain access. </w:t>
      </w:r>
    </w:p>
    <w:p w:rsidR="0044701E" w:rsidRPr="0044701E" w:rsidRDefault="0044701E" w:rsidP="0044701E">
      <w:pPr>
        <w:spacing w:after="0" w:line="240" w:lineRule="auto"/>
        <w:rPr>
          <w:rFonts w:ascii="Verdana" w:hAnsi="Verdana"/>
          <w:sz w:val="20"/>
          <w:szCs w:val="20"/>
        </w:rPr>
      </w:pPr>
    </w:p>
    <w:p w:rsidR="0044701E" w:rsidRPr="0044701E" w:rsidRDefault="00CA113D" w:rsidP="0044701E">
      <w:pPr>
        <w:spacing w:after="0" w:line="240" w:lineRule="auto"/>
        <w:rPr>
          <w:rFonts w:ascii="Verdana" w:hAnsi="Verdana"/>
          <w:b/>
          <w:sz w:val="20"/>
          <w:szCs w:val="20"/>
        </w:rPr>
      </w:pPr>
      <w:r>
        <w:rPr>
          <w:rFonts w:ascii="Verdana" w:hAnsi="Verdana"/>
          <w:b/>
          <w:sz w:val="20"/>
          <w:szCs w:val="20"/>
        </w:rPr>
        <w:t>H</w:t>
      </w:r>
      <w:r w:rsidR="0044701E" w:rsidRPr="0044701E">
        <w:rPr>
          <w:rFonts w:ascii="Verdana" w:hAnsi="Verdana"/>
          <w:b/>
          <w:sz w:val="20"/>
          <w:szCs w:val="20"/>
        </w:rPr>
        <w:t>ow many states do not allow youth serving organizations to access FBI background checks?</w:t>
      </w:r>
    </w:p>
    <w:p w:rsidR="0044701E" w:rsidRPr="0044701E" w:rsidRDefault="0044701E" w:rsidP="0044701E">
      <w:pPr>
        <w:spacing w:after="0" w:line="240" w:lineRule="auto"/>
        <w:rPr>
          <w:rFonts w:ascii="Verdana" w:hAnsi="Verdana"/>
          <w:sz w:val="20"/>
          <w:szCs w:val="20"/>
        </w:rPr>
      </w:pPr>
    </w:p>
    <w:p w:rsidR="0044701E" w:rsidRPr="0044701E" w:rsidRDefault="0044701E" w:rsidP="0044701E">
      <w:pPr>
        <w:spacing w:after="0" w:line="240" w:lineRule="auto"/>
        <w:rPr>
          <w:rFonts w:ascii="Verdana" w:hAnsi="Verdana"/>
          <w:sz w:val="20"/>
          <w:szCs w:val="20"/>
        </w:rPr>
      </w:pPr>
      <w:r w:rsidRPr="0044701E">
        <w:rPr>
          <w:rFonts w:ascii="Verdana" w:hAnsi="Verdana"/>
          <w:sz w:val="20"/>
          <w:szCs w:val="20"/>
        </w:rPr>
        <w:t xml:space="preserve">At last analysis, 26 states do not allow their </w:t>
      </w:r>
      <w:r w:rsidRPr="0044701E">
        <w:rPr>
          <w:rFonts w:ascii="Verdana" w:hAnsi="Verdana"/>
          <w:i/>
          <w:sz w:val="20"/>
          <w:szCs w:val="20"/>
        </w:rPr>
        <w:t>“youth serving organizations”</w:t>
      </w:r>
      <w:r w:rsidRPr="0044701E">
        <w:rPr>
          <w:rFonts w:ascii="Verdana" w:hAnsi="Verdana"/>
          <w:sz w:val="20"/>
          <w:szCs w:val="20"/>
        </w:rPr>
        <w:t xml:space="preserve"> to access FBI background checks through the states’ system.</w:t>
      </w:r>
    </w:p>
    <w:p w:rsidR="0044701E" w:rsidRPr="0044701E" w:rsidRDefault="0044701E" w:rsidP="0044701E">
      <w:pPr>
        <w:spacing w:after="0" w:line="240" w:lineRule="auto"/>
        <w:ind w:firstLine="720"/>
        <w:rPr>
          <w:rFonts w:ascii="Verdana" w:hAnsi="Verdana"/>
          <w:sz w:val="20"/>
          <w:szCs w:val="20"/>
        </w:rPr>
      </w:pPr>
    </w:p>
    <w:p w:rsidR="0044701E" w:rsidRPr="0044701E" w:rsidRDefault="0044701E" w:rsidP="0044701E">
      <w:pPr>
        <w:spacing w:after="0" w:line="240" w:lineRule="auto"/>
        <w:rPr>
          <w:rFonts w:ascii="Verdana" w:hAnsi="Verdana"/>
          <w:sz w:val="20"/>
          <w:szCs w:val="20"/>
        </w:rPr>
      </w:pPr>
      <w:r w:rsidRPr="0044701E">
        <w:rPr>
          <w:rFonts w:ascii="Verdana" w:hAnsi="Verdana"/>
          <w:sz w:val="20"/>
          <w:szCs w:val="20"/>
        </w:rPr>
        <w:t xml:space="preserve">The extent to which states allow youth serving organizations to access FBI background checks varies in scope and coverage.  Most states permit criminal background checks on individuals employed, or seeking employment, in occupations that are frequently subject to criminal background checks, such as elementary and secondary school teachers.  However, many states do not permit non-governmental youth serving organizations to conduct criminal background checks on employees and volunteers.   </w:t>
      </w:r>
    </w:p>
    <w:p w:rsidR="0044701E" w:rsidRPr="0044701E" w:rsidRDefault="0044701E" w:rsidP="0044701E">
      <w:pPr>
        <w:spacing w:after="0" w:line="240" w:lineRule="auto"/>
        <w:ind w:firstLine="720"/>
        <w:rPr>
          <w:rFonts w:ascii="Verdana" w:hAnsi="Verdana"/>
          <w:sz w:val="20"/>
          <w:szCs w:val="20"/>
        </w:rPr>
      </w:pPr>
    </w:p>
    <w:p w:rsidR="0044701E" w:rsidRPr="0044701E" w:rsidRDefault="00413F7D" w:rsidP="0044701E">
      <w:pPr>
        <w:spacing w:after="0" w:line="240" w:lineRule="auto"/>
        <w:rPr>
          <w:rFonts w:ascii="Verdana" w:hAnsi="Verdana"/>
          <w:b/>
          <w:sz w:val="20"/>
          <w:szCs w:val="20"/>
        </w:rPr>
      </w:pPr>
      <w:r>
        <w:rPr>
          <w:rFonts w:ascii="Verdana" w:hAnsi="Verdana"/>
          <w:b/>
          <w:sz w:val="20"/>
          <w:szCs w:val="20"/>
        </w:rPr>
        <w:t xml:space="preserve">What are the benefits of including a national FBI check as part of a comprehensive background check? </w:t>
      </w:r>
    </w:p>
    <w:p w:rsidR="0044701E" w:rsidRPr="0044701E" w:rsidRDefault="0044701E" w:rsidP="0044701E">
      <w:pPr>
        <w:spacing w:after="0" w:line="240" w:lineRule="auto"/>
        <w:rPr>
          <w:rFonts w:ascii="Verdana" w:hAnsi="Verdana"/>
          <w:sz w:val="20"/>
          <w:szCs w:val="20"/>
        </w:rPr>
      </w:pPr>
    </w:p>
    <w:p w:rsidR="0044701E" w:rsidRPr="0044701E" w:rsidRDefault="00413F7D" w:rsidP="0044701E">
      <w:pPr>
        <w:spacing w:after="0" w:line="240" w:lineRule="auto"/>
        <w:rPr>
          <w:rFonts w:ascii="Verdana" w:hAnsi="Verdana"/>
          <w:sz w:val="20"/>
          <w:szCs w:val="20"/>
        </w:rPr>
      </w:pPr>
      <w:r>
        <w:rPr>
          <w:rFonts w:ascii="Verdana" w:hAnsi="Verdana"/>
          <w:sz w:val="20"/>
          <w:szCs w:val="20"/>
        </w:rPr>
        <w:t>Through t</w:t>
      </w:r>
      <w:r w:rsidRPr="0044701E">
        <w:rPr>
          <w:rFonts w:ascii="Verdana" w:hAnsi="Verdana"/>
          <w:sz w:val="20"/>
          <w:szCs w:val="20"/>
        </w:rPr>
        <w:t xml:space="preserve">he </w:t>
      </w:r>
      <w:r w:rsidR="0044701E" w:rsidRPr="0044701E">
        <w:rPr>
          <w:rFonts w:ascii="Verdana" w:hAnsi="Verdana"/>
          <w:sz w:val="20"/>
          <w:szCs w:val="20"/>
        </w:rPr>
        <w:t>PROTECT Act</w:t>
      </w:r>
      <w:r>
        <w:rPr>
          <w:rFonts w:ascii="Verdana" w:hAnsi="Verdana"/>
          <w:sz w:val="20"/>
          <w:szCs w:val="20"/>
        </w:rPr>
        <w:t>, Congress</w:t>
      </w:r>
      <w:r w:rsidR="0044701E" w:rsidRPr="0044701E">
        <w:rPr>
          <w:rFonts w:ascii="Verdana" w:hAnsi="Verdana"/>
          <w:sz w:val="20"/>
          <w:szCs w:val="20"/>
        </w:rPr>
        <w:t xml:space="preserve"> directed the Attorney General to establish a pilot program for volunteer groups to obtain national and state fingerprint-based criminal history record checks</w:t>
      </w:r>
      <w:r>
        <w:rPr>
          <w:rFonts w:ascii="Verdana" w:hAnsi="Verdana"/>
          <w:sz w:val="20"/>
          <w:szCs w:val="20"/>
        </w:rPr>
        <w:t xml:space="preserve"> in order to better understand the value of screening adults wishing to volunteer or work with children</w:t>
      </w:r>
      <w:r w:rsidR="0044701E" w:rsidRPr="0044701E">
        <w:rPr>
          <w:rFonts w:ascii="Verdana" w:hAnsi="Verdana"/>
          <w:sz w:val="20"/>
          <w:szCs w:val="20"/>
        </w:rPr>
        <w:t xml:space="preserve">.  </w:t>
      </w:r>
    </w:p>
    <w:p w:rsidR="0044701E" w:rsidRPr="0044701E" w:rsidRDefault="0044701E" w:rsidP="0044701E">
      <w:pPr>
        <w:spacing w:after="0" w:line="240" w:lineRule="auto"/>
        <w:rPr>
          <w:rFonts w:ascii="Verdana" w:hAnsi="Verdana"/>
          <w:sz w:val="20"/>
          <w:szCs w:val="20"/>
        </w:rPr>
      </w:pPr>
    </w:p>
    <w:p w:rsidR="0044701E" w:rsidRPr="0044701E" w:rsidRDefault="0044701E" w:rsidP="0044701E">
      <w:pPr>
        <w:spacing w:after="0" w:line="240" w:lineRule="auto"/>
        <w:rPr>
          <w:rFonts w:ascii="Verdana" w:hAnsi="Verdana"/>
          <w:sz w:val="20"/>
          <w:szCs w:val="20"/>
        </w:rPr>
      </w:pPr>
      <w:r w:rsidRPr="0044701E">
        <w:rPr>
          <w:rFonts w:ascii="Verdana" w:hAnsi="Verdana"/>
          <w:color w:val="000000"/>
          <w:sz w:val="20"/>
          <w:szCs w:val="20"/>
        </w:rPr>
        <w:t xml:space="preserve">Any volunteer organization that was a member of </w:t>
      </w:r>
      <w:r w:rsidR="00413F7D">
        <w:rPr>
          <w:rFonts w:ascii="Verdana" w:hAnsi="Verdana"/>
          <w:color w:val="000000"/>
          <w:sz w:val="20"/>
          <w:szCs w:val="20"/>
        </w:rPr>
        <w:t>MENTOR: T</w:t>
      </w:r>
      <w:r w:rsidR="00413F7D" w:rsidRPr="0044701E">
        <w:rPr>
          <w:rFonts w:ascii="Verdana" w:hAnsi="Verdana"/>
          <w:color w:val="000000"/>
          <w:sz w:val="20"/>
          <w:szCs w:val="20"/>
        </w:rPr>
        <w:t xml:space="preserve">he </w:t>
      </w:r>
      <w:r w:rsidRPr="0044701E">
        <w:rPr>
          <w:rFonts w:ascii="Verdana" w:hAnsi="Verdana"/>
          <w:color w:val="000000"/>
          <w:sz w:val="20"/>
          <w:szCs w:val="20"/>
        </w:rPr>
        <w:t>National Mentoring Partnership, the Boys &amp; Girls Clubs of America, the National Council of Youth Sports, or was a nonprofit organization that provided care to children</w:t>
      </w:r>
      <w:r w:rsidR="00413F7D">
        <w:rPr>
          <w:rFonts w:ascii="Verdana" w:hAnsi="Verdana"/>
          <w:color w:val="000000"/>
          <w:sz w:val="20"/>
          <w:szCs w:val="20"/>
        </w:rPr>
        <w:t>,</w:t>
      </w:r>
      <w:r w:rsidRPr="0044701E">
        <w:rPr>
          <w:rFonts w:ascii="Verdana" w:hAnsi="Verdana"/>
          <w:color w:val="000000"/>
          <w:sz w:val="20"/>
          <w:szCs w:val="20"/>
        </w:rPr>
        <w:t xml:space="preserve"> was eligible to participate in the PROTECT Act pilot program.</w:t>
      </w:r>
      <w:r w:rsidRPr="0044701E">
        <w:rPr>
          <w:rFonts w:ascii="Verdana" w:hAnsi="Verdana"/>
          <w:sz w:val="20"/>
          <w:szCs w:val="20"/>
        </w:rPr>
        <w:t xml:space="preserve">  </w:t>
      </w:r>
    </w:p>
    <w:p w:rsidR="0044701E" w:rsidRPr="0044701E" w:rsidRDefault="0044701E" w:rsidP="0044701E">
      <w:pPr>
        <w:spacing w:after="0" w:line="240" w:lineRule="auto"/>
        <w:rPr>
          <w:rFonts w:ascii="Verdana" w:hAnsi="Verdana"/>
          <w:sz w:val="20"/>
          <w:szCs w:val="20"/>
        </w:rPr>
      </w:pPr>
    </w:p>
    <w:p w:rsidR="0044701E" w:rsidRPr="0044701E" w:rsidRDefault="0044701E" w:rsidP="0044701E">
      <w:pPr>
        <w:autoSpaceDE w:val="0"/>
        <w:autoSpaceDN w:val="0"/>
        <w:adjustRightInd w:val="0"/>
        <w:spacing w:after="0" w:line="240" w:lineRule="auto"/>
        <w:rPr>
          <w:rFonts w:ascii="Verdana" w:hAnsi="Verdana"/>
          <w:color w:val="000000"/>
          <w:sz w:val="20"/>
          <w:szCs w:val="20"/>
        </w:rPr>
      </w:pPr>
      <w:r w:rsidRPr="0044701E">
        <w:rPr>
          <w:rFonts w:ascii="Verdana" w:hAnsi="Verdana"/>
          <w:color w:val="000000"/>
          <w:sz w:val="20"/>
          <w:szCs w:val="20"/>
        </w:rPr>
        <w:t xml:space="preserve">Participating agencies were required to send their fingerprint cards to the National Center for Missing and Exploited Children (NCMEC) who in turn submitted them to the FBI electronically.  The FBI sent the results of the criminal history record check to the NCMEC which made the determination whether the information contained in the criminal history record rendered the volunteer unfit to provide care to children.  </w:t>
      </w:r>
    </w:p>
    <w:p w:rsidR="0044701E" w:rsidRPr="0044701E" w:rsidRDefault="0044701E" w:rsidP="0044701E">
      <w:pPr>
        <w:autoSpaceDE w:val="0"/>
        <w:autoSpaceDN w:val="0"/>
        <w:adjustRightInd w:val="0"/>
        <w:spacing w:after="0" w:line="240" w:lineRule="auto"/>
        <w:rPr>
          <w:rFonts w:ascii="Verdana" w:hAnsi="Verdana"/>
          <w:sz w:val="20"/>
          <w:szCs w:val="20"/>
        </w:rPr>
      </w:pPr>
    </w:p>
    <w:p w:rsidR="0044701E" w:rsidRDefault="0044701E" w:rsidP="0044701E">
      <w:pPr>
        <w:spacing w:after="0" w:line="240" w:lineRule="auto"/>
        <w:rPr>
          <w:rFonts w:ascii="Verdana" w:hAnsi="Verdana"/>
          <w:sz w:val="20"/>
          <w:szCs w:val="20"/>
        </w:rPr>
      </w:pPr>
      <w:r w:rsidRPr="0044701E">
        <w:rPr>
          <w:rFonts w:ascii="Verdana" w:hAnsi="Verdana"/>
          <w:sz w:val="20"/>
          <w:szCs w:val="20"/>
        </w:rPr>
        <w:t xml:space="preserve">From September 2003 to April 2011, the NCMEC processed approximately 104,954 criminal history background checks.  </w:t>
      </w:r>
      <w:r w:rsidRPr="0044701E">
        <w:rPr>
          <w:rFonts w:ascii="Verdana" w:hAnsi="Verdana"/>
          <w:i/>
          <w:sz w:val="20"/>
          <w:szCs w:val="20"/>
        </w:rPr>
        <w:t xml:space="preserve">As a result, it was determined that nearly 6,506, or approximately 6 percent, of </w:t>
      </w:r>
      <w:r w:rsidR="00413F7D">
        <w:rPr>
          <w:rFonts w:ascii="Verdana" w:hAnsi="Verdana"/>
          <w:i/>
          <w:sz w:val="20"/>
          <w:szCs w:val="20"/>
        </w:rPr>
        <w:t>screened</w:t>
      </w:r>
      <w:r w:rsidR="00413F7D" w:rsidRPr="0044701E">
        <w:rPr>
          <w:rFonts w:ascii="Verdana" w:hAnsi="Verdana"/>
          <w:i/>
          <w:sz w:val="20"/>
          <w:szCs w:val="20"/>
        </w:rPr>
        <w:t xml:space="preserve"> </w:t>
      </w:r>
      <w:r w:rsidRPr="0044701E">
        <w:rPr>
          <w:rFonts w:ascii="Verdana" w:hAnsi="Verdana"/>
          <w:i/>
          <w:sz w:val="20"/>
          <w:szCs w:val="20"/>
        </w:rPr>
        <w:t xml:space="preserve">volunteers had a criminal history record that may render them unsuitable to work with children. </w:t>
      </w:r>
      <w:r w:rsidRPr="0044701E">
        <w:rPr>
          <w:rFonts w:ascii="Verdana" w:hAnsi="Verdana"/>
          <w:sz w:val="20"/>
          <w:szCs w:val="20"/>
        </w:rPr>
        <w:t xml:space="preserve"> The crimes committed by the individuals include attempted murder, rape, sexual assault, sexual contact with a child, and assault with a deadly weapon.  </w:t>
      </w:r>
    </w:p>
    <w:p w:rsidR="00230780" w:rsidRDefault="00230780" w:rsidP="0044701E">
      <w:pPr>
        <w:spacing w:after="0" w:line="240" w:lineRule="auto"/>
        <w:rPr>
          <w:rFonts w:ascii="Verdana" w:hAnsi="Verdana"/>
          <w:sz w:val="20"/>
          <w:szCs w:val="20"/>
        </w:rPr>
      </w:pPr>
    </w:p>
    <w:p w:rsidR="0077251F" w:rsidRDefault="0077251F" w:rsidP="0044701E">
      <w:pPr>
        <w:spacing w:after="0" w:line="240" w:lineRule="auto"/>
        <w:rPr>
          <w:rFonts w:ascii="Verdana" w:hAnsi="Verdana"/>
          <w:sz w:val="20"/>
          <w:szCs w:val="20"/>
        </w:rPr>
      </w:pPr>
      <w:r w:rsidRPr="00230780">
        <w:rPr>
          <w:rFonts w:ascii="Verdana" w:hAnsi="Verdana"/>
          <w:noProof/>
          <w:sz w:val="20"/>
          <w:szCs w:val="20"/>
        </w:rPr>
        <mc:AlternateContent>
          <mc:Choice Requires="wps">
            <w:drawing>
              <wp:anchor distT="0" distB="0" distL="114300" distR="114300" simplePos="0" relativeHeight="251659264" behindDoc="0" locked="0" layoutInCell="1" allowOverlap="1" wp14:anchorId="2A14FF2C" wp14:editId="33F892E8">
                <wp:simplePos x="0" y="0"/>
                <wp:positionH relativeFrom="column">
                  <wp:align>center</wp:align>
                </wp:positionH>
                <wp:positionV relativeFrom="paragraph">
                  <wp:posOffset>0</wp:posOffset>
                </wp:positionV>
                <wp:extent cx="5248275" cy="1657350"/>
                <wp:effectExtent l="0" t="0" r="28575" b="1905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1657350"/>
                        </a:xfrm>
                        <a:prstGeom prst="rect">
                          <a:avLst/>
                        </a:prstGeom>
                        <a:solidFill>
                          <a:srgbClr val="FFFFFF"/>
                        </a:solidFill>
                        <a:ln w="9525">
                          <a:solidFill>
                            <a:srgbClr val="000000"/>
                          </a:solidFill>
                          <a:miter lim="800000"/>
                          <a:headEnd/>
                          <a:tailEnd/>
                        </a:ln>
                      </wps:spPr>
                      <wps:txbx>
                        <w:txbxContent>
                          <w:p w:rsidR="00DF3083" w:rsidRDefault="00DF3083" w:rsidP="00230780">
                            <w:pPr>
                              <w:spacing w:after="0" w:line="240" w:lineRule="auto"/>
                              <w:rPr>
                                <w:rFonts w:ascii="Verdana" w:hAnsi="Verdana"/>
                                <w:sz w:val="20"/>
                                <w:szCs w:val="20"/>
                              </w:rPr>
                            </w:pPr>
                            <w:r w:rsidRPr="00230780">
                              <w:rPr>
                                <w:rFonts w:ascii="Verdana" w:hAnsi="Verdana"/>
                                <w:sz w:val="20"/>
                                <w:szCs w:val="20"/>
                              </w:rPr>
                              <w:t>Out of the applicants that had criminal history records and applied to volunteer at the non</w:t>
                            </w:r>
                            <w:r w:rsidRPr="00230780">
                              <w:rPr>
                                <w:rFonts w:ascii="Cambria Math" w:hAnsi="Cambria Math" w:cs="Cambria Math"/>
                                <w:sz w:val="20"/>
                                <w:szCs w:val="20"/>
                              </w:rPr>
                              <w:t>‐</w:t>
                            </w:r>
                            <w:r w:rsidRPr="00230780">
                              <w:rPr>
                                <w:rFonts w:ascii="Verdana" w:hAnsi="Verdana"/>
                                <w:sz w:val="20"/>
                                <w:szCs w:val="20"/>
                              </w:rPr>
                              <w:t>profit organizations:</w:t>
                            </w:r>
                          </w:p>
                          <w:p w:rsidR="00DF3083" w:rsidRPr="00230780" w:rsidRDefault="00DF3083" w:rsidP="00230780">
                            <w:pPr>
                              <w:spacing w:after="0" w:line="240" w:lineRule="auto"/>
                              <w:rPr>
                                <w:rFonts w:ascii="Verdana" w:hAnsi="Verdana"/>
                                <w:sz w:val="20"/>
                                <w:szCs w:val="20"/>
                              </w:rPr>
                            </w:pPr>
                          </w:p>
                          <w:p w:rsidR="00DF3083" w:rsidRPr="00230780" w:rsidRDefault="00DF3083" w:rsidP="00230780">
                            <w:pPr>
                              <w:pStyle w:val="ListParagraph"/>
                              <w:numPr>
                                <w:ilvl w:val="0"/>
                                <w:numId w:val="5"/>
                              </w:numPr>
                              <w:rPr>
                                <w:rFonts w:ascii="Verdana" w:hAnsi="Verdana"/>
                                <w:sz w:val="20"/>
                                <w:szCs w:val="20"/>
                              </w:rPr>
                            </w:pPr>
                            <w:r w:rsidRPr="00230780">
                              <w:rPr>
                                <w:rFonts w:ascii="Verdana" w:hAnsi="Verdana"/>
                                <w:sz w:val="20"/>
                                <w:szCs w:val="20"/>
                              </w:rPr>
                              <w:t>42% of applicants had a record in a different state other than where they applied to volunteer</w:t>
                            </w:r>
                          </w:p>
                          <w:p w:rsidR="00DF3083" w:rsidRPr="00230780" w:rsidRDefault="00DF3083" w:rsidP="00230780">
                            <w:pPr>
                              <w:pStyle w:val="ListParagraph"/>
                              <w:numPr>
                                <w:ilvl w:val="0"/>
                                <w:numId w:val="5"/>
                              </w:numPr>
                              <w:rPr>
                                <w:rFonts w:ascii="Verdana" w:hAnsi="Verdana"/>
                                <w:sz w:val="20"/>
                                <w:szCs w:val="20"/>
                              </w:rPr>
                            </w:pPr>
                            <w:r w:rsidRPr="00230780">
                              <w:rPr>
                                <w:rFonts w:ascii="Verdana" w:hAnsi="Verdana"/>
                                <w:sz w:val="20"/>
                                <w:szCs w:val="20"/>
                              </w:rPr>
                              <w:t>23% of applicants showed a different name on their record  than the one used to apply to volunteer</w:t>
                            </w:r>
                          </w:p>
                          <w:p w:rsidR="00DF3083" w:rsidRPr="00230780" w:rsidRDefault="00DF3083" w:rsidP="00230780">
                            <w:pPr>
                              <w:pStyle w:val="ListParagraph"/>
                              <w:numPr>
                                <w:ilvl w:val="0"/>
                                <w:numId w:val="5"/>
                              </w:numPr>
                              <w:rPr>
                                <w:rFonts w:ascii="Verdana" w:hAnsi="Verdana"/>
                                <w:sz w:val="20"/>
                                <w:szCs w:val="20"/>
                              </w:rPr>
                            </w:pPr>
                            <w:r w:rsidRPr="00230780">
                              <w:rPr>
                                <w:rFonts w:ascii="Verdana" w:hAnsi="Verdana"/>
                                <w:sz w:val="20"/>
                                <w:szCs w:val="20"/>
                              </w:rPr>
                              <w:t>6% of applicants applied with a different date of birth other than what showed up in their criminal history</w:t>
                            </w:r>
                          </w:p>
                          <w:p w:rsidR="00DF3083" w:rsidRDefault="00DF308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14FF2C" id="_x0000_t202" coordsize="21600,21600" o:spt="202" path="m,l,21600r21600,l21600,xe">
                <v:stroke joinstyle="miter"/>
                <v:path gradientshapeok="t" o:connecttype="rect"/>
              </v:shapetype>
              <v:shape id="Text Box 2" o:spid="_x0000_s1026" type="#_x0000_t202" style="position:absolute;margin-left:0;margin-top:0;width:413.25pt;height:130.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">
                <v:textbox>
                  <w:txbxContent>
                    <w:p w:rsidR="00DF3083" w:rsidRDefault="00DF3083" w:rsidP="00230780">
                      <w:pPr>
                        <w:spacing w:after="0" w:line="240" w:lineRule="auto"/>
                        <w:rPr>
                          <w:rFonts w:ascii="Verdana" w:hAnsi="Verdana"/>
                          <w:sz w:val="20"/>
                          <w:szCs w:val="20"/>
                        </w:rPr>
                      </w:pPr>
                      <w:r w:rsidRPr="00230780">
                        <w:rPr>
                          <w:rFonts w:ascii="Verdana" w:hAnsi="Verdana"/>
                          <w:sz w:val="20"/>
                          <w:szCs w:val="20"/>
                        </w:rPr>
                        <w:t>Out of the applicants that had criminal history records and applied to volunteer at the non</w:t>
                      </w:r>
                      <w:r w:rsidRPr="00230780">
                        <w:rPr>
                          <w:rFonts w:ascii="Cambria Math" w:hAnsi="Cambria Math" w:cs="Cambria Math"/>
                          <w:sz w:val="20"/>
                          <w:szCs w:val="20"/>
                        </w:rPr>
                        <w:t>‐</w:t>
                      </w:r>
                      <w:r w:rsidRPr="00230780">
                        <w:rPr>
                          <w:rFonts w:ascii="Verdana" w:hAnsi="Verdana"/>
                          <w:sz w:val="20"/>
                          <w:szCs w:val="20"/>
                        </w:rPr>
                        <w:t>profit organizations:</w:t>
                      </w:r>
                    </w:p>
                    <w:p w:rsidR="00DF3083" w:rsidRPr="00230780" w:rsidRDefault="00DF3083" w:rsidP="00230780">
                      <w:pPr>
                        <w:spacing w:after="0" w:line="240" w:lineRule="auto"/>
                        <w:rPr>
                          <w:rFonts w:ascii="Verdana" w:hAnsi="Verdana"/>
                          <w:sz w:val="20"/>
                          <w:szCs w:val="20"/>
                        </w:rPr>
                      </w:pPr>
                    </w:p>
                    <w:p w:rsidR="00DF3083" w:rsidRPr="00230780" w:rsidRDefault="00DF3083" w:rsidP="00230780">
                      <w:pPr>
                        <w:pStyle w:val="ListParagraph"/>
                        <w:numPr>
                          <w:ilvl w:val="0"/>
                          <w:numId w:val="5"/>
                        </w:numPr>
                        <w:rPr>
                          <w:rFonts w:ascii="Verdana" w:hAnsi="Verdana"/>
                          <w:sz w:val="20"/>
                          <w:szCs w:val="20"/>
                        </w:rPr>
                      </w:pPr>
                      <w:r w:rsidRPr="00230780">
                        <w:rPr>
                          <w:rFonts w:ascii="Verdana" w:hAnsi="Verdana"/>
                          <w:sz w:val="20"/>
                          <w:szCs w:val="20"/>
                        </w:rPr>
                        <w:t>42% of applicants had a record in a different state other than where they applied to volunteer</w:t>
                      </w:r>
                    </w:p>
                    <w:p w:rsidR="00DF3083" w:rsidRPr="00230780" w:rsidRDefault="00DF3083" w:rsidP="00230780">
                      <w:pPr>
                        <w:pStyle w:val="ListParagraph"/>
                        <w:numPr>
                          <w:ilvl w:val="0"/>
                          <w:numId w:val="5"/>
                        </w:numPr>
                        <w:rPr>
                          <w:rFonts w:ascii="Verdana" w:hAnsi="Verdana"/>
                          <w:sz w:val="20"/>
                          <w:szCs w:val="20"/>
                        </w:rPr>
                      </w:pPr>
                      <w:r w:rsidRPr="00230780">
                        <w:rPr>
                          <w:rFonts w:ascii="Verdana" w:hAnsi="Verdana"/>
                          <w:sz w:val="20"/>
                          <w:szCs w:val="20"/>
                        </w:rPr>
                        <w:t>23% of applicants showed a different name on their record  than the one used to apply to volunteer</w:t>
                      </w:r>
                    </w:p>
                    <w:p w:rsidR="00DF3083" w:rsidRPr="00230780" w:rsidRDefault="00DF3083" w:rsidP="00230780">
                      <w:pPr>
                        <w:pStyle w:val="ListParagraph"/>
                        <w:numPr>
                          <w:ilvl w:val="0"/>
                          <w:numId w:val="5"/>
                        </w:numPr>
                        <w:rPr>
                          <w:rFonts w:ascii="Verdana" w:hAnsi="Verdana"/>
                          <w:sz w:val="20"/>
                          <w:szCs w:val="20"/>
                        </w:rPr>
                      </w:pPr>
                      <w:r w:rsidRPr="00230780">
                        <w:rPr>
                          <w:rFonts w:ascii="Verdana" w:hAnsi="Verdana"/>
                          <w:sz w:val="20"/>
                          <w:szCs w:val="20"/>
                        </w:rPr>
                        <w:t>6% of applicants applied with a different date of birth other than what showed up in their criminal history</w:t>
                      </w:r>
                    </w:p>
                    <w:p w:rsidR="00DF3083" w:rsidRDefault="00DF3083"/>
                  </w:txbxContent>
                </v:textbox>
                <w10:wrap type="square"/>
              </v:shape>
            </w:pict>
          </mc:Fallback>
        </mc:AlternateContent>
      </w:r>
    </w:p>
    <w:p w:rsidR="0044701E" w:rsidRPr="0044701E" w:rsidRDefault="0044701E" w:rsidP="0044701E">
      <w:pPr>
        <w:spacing w:after="0" w:line="240" w:lineRule="auto"/>
        <w:rPr>
          <w:rFonts w:ascii="Verdana" w:hAnsi="Verdana"/>
          <w:sz w:val="20"/>
          <w:szCs w:val="20"/>
        </w:rPr>
      </w:pPr>
      <w:r w:rsidRPr="0044701E">
        <w:rPr>
          <w:rFonts w:ascii="Verdana" w:hAnsi="Verdana"/>
          <w:sz w:val="20"/>
          <w:szCs w:val="20"/>
        </w:rPr>
        <w:t>The PROTECT Act pilot program was terminated on March 31, 2011 because the NCMEC withdrew from the program due to lack of funding.</w:t>
      </w:r>
    </w:p>
    <w:p w:rsidR="0044701E" w:rsidRPr="0044701E" w:rsidRDefault="0044701E" w:rsidP="0044701E">
      <w:pPr>
        <w:spacing w:after="0" w:line="240" w:lineRule="auto"/>
        <w:rPr>
          <w:rFonts w:ascii="Verdana" w:hAnsi="Verdana"/>
          <w:sz w:val="20"/>
          <w:szCs w:val="20"/>
        </w:rPr>
      </w:pPr>
    </w:p>
    <w:p w:rsidR="0044701E" w:rsidRPr="0044701E" w:rsidRDefault="0044701E" w:rsidP="0044701E">
      <w:pPr>
        <w:spacing w:after="0" w:line="240" w:lineRule="auto"/>
        <w:rPr>
          <w:rFonts w:ascii="Verdana" w:hAnsi="Verdana"/>
          <w:sz w:val="20"/>
          <w:szCs w:val="20"/>
        </w:rPr>
      </w:pPr>
      <w:r w:rsidRPr="0044701E">
        <w:rPr>
          <w:rFonts w:ascii="Verdana" w:hAnsi="Verdana"/>
          <w:b/>
          <w:bCs/>
          <w:sz w:val="20"/>
          <w:szCs w:val="20"/>
        </w:rPr>
        <w:t>What are the Criterion Offenses?</w:t>
      </w:r>
    </w:p>
    <w:p w:rsidR="0044701E" w:rsidRDefault="0044701E" w:rsidP="0044701E">
      <w:pPr>
        <w:spacing w:after="0" w:line="240" w:lineRule="auto"/>
        <w:rPr>
          <w:rFonts w:ascii="Verdana" w:hAnsi="Verdana" w:cs="Arial"/>
          <w:color w:val="333333"/>
          <w:sz w:val="20"/>
          <w:szCs w:val="20"/>
          <w:lang w:val="en"/>
        </w:rPr>
      </w:pPr>
      <w:r w:rsidRPr="0044701E">
        <w:rPr>
          <w:rFonts w:ascii="Verdana" w:hAnsi="Verdana" w:cs="Arial"/>
          <w:color w:val="333333"/>
          <w:sz w:val="20"/>
          <w:szCs w:val="20"/>
          <w:lang w:val="en"/>
        </w:rPr>
        <w:t>CPIA does not specify criterion offenses, however it states that the AG or designee shall employ the criteria  used to evaluate individuals under other Federal laws, such as the Volunteers for Children Act (</w:t>
      </w:r>
      <w:hyperlink r:id="rId7" w:history="1">
        <w:r w:rsidRPr="0044701E">
          <w:rPr>
            <w:rStyle w:val="Hyperlink"/>
            <w:rFonts w:ascii="Verdana" w:hAnsi="Verdana" w:cs="Arial"/>
            <w:sz w:val="20"/>
            <w:szCs w:val="20"/>
            <w:lang w:val="en"/>
          </w:rPr>
          <w:t>Public Law 105–251</w:t>
        </w:r>
      </w:hyperlink>
      <w:r w:rsidRPr="0044701E">
        <w:rPr>
          <w:rFonts w:ascii="Verdana" w:hAnsi="Verdana" w:cs="Arial"/>
          <w:color w:val="333333"/>
          <w:sz w:val="20"/>
          <w:szCs w:val="20"/>
          <w:lang w:val="en"/>
        </w:rPr>
        <w:t>; 112 Stat. 1885), the Serve America Act (</w:t>
      </w:r>
      <w:hyperlink r:id="rId8" w:history="1">
        <w:r w:rsidRPr="0044701E">
          <w:rPr>
            <w:rStyle w:val="Hyperlink"/>
            <w:rFonts w:ascii="Verdana" w:hAnsi="Verdana" w:cs="Arial"/>
            <w:sz w:val="20"/>
            <w:szCs w:val="20"/>
            <w:lang w:val="en"/>
          </w:rPr>
          <w:t>Public Law 111–13</w:t>
        </w:r>
      </w:hyperlink>
      <w:r w:rsidRPr="0044701E">
        <w:rPr>
          <w:rFonts w:ascii="Verdana" w:hAnsi="Verdana" w:cs="Arial"/>
          <w:color w:val="333333"/>
          <w:sz w:val="20"/>
          <w:szCs w:val="20"/>
          <w:lang w:val="en"/>
        </w:rPr>
        <w:t>; 123 Stat. 1460), and the Adam Walsh Child Protection and Safety Act of 2006 (</w:t>
      </w:r>
      <w:hyperlink r:id="rId9" w:history="1">
        <w:r w:rsidRPr="0044701E">
          <w:rPr>
            <w:rStyle w:val="Hyperlink"/>
            <w:rFonts w:ascii="Verdana" w:hAnsi="Verdana" w:cs="Arial"/>
            <w:sz w:val="20"/>
            <w:szCs w:val="20"/>
            <w:lang w:val="en"/>
          </w:rPr>
          <w:t>Public Law 109–248</w:t>
        </w:r>
      </w:hyperlink>
      <w:r w:rsidRPr="0044701E">
        <w:rPr>
          <w:rFonts w:ascii="Verdana" w:hAnsi="Verdana" w:cs="Arial"/>
          <w:color w:val="333333"/>
          <w:sz w:val="20"/>
          <w:szCs w:val="20"/>
          <w:lang w:val="en"/>
        </w:rPr>
        <w:t>; 120 Stat. 587).</w:t>
      </w:r>
    </w:p>
    <w:p w:rsidR="00230780" w:rsidRDefault="00230780" w:rsidP="0044701E">
      <w:pPr>
        <w:spacing w:after="0" w:line="240" w:lineRule="auto"/>
        <w:rPr>
          <w:rFonts w:ascii="Verdana" w:hAnsi="Verdana" w:cs="Arial"/>
          <w:color w:val="333333"/>
          <w:sz w:val="20"/>
          <w:szCs w:val="20"/>
          <w:lang w:val="en"/>
        </w:rPr>
      </w:pPr>
    </w:p>
    <w:p w:rsidR="00230780" w:rsidRPr="0044701E" w:rsidRDefault="00230780" w:rsidP="0044701E">
      <w:pPr>
        <w:spacing w:after="0" w:line="240" w:lineRule="auto"/>
        <w:rPr>
          <w:rFonts w:ascii="Verdana" w:hAnsi="Verdana" w:cs="Arial"/>
          <w:color w:val="333333"/>
          <w:sz w:val="20"/>
          <w:szCs w:val="20"/>
          <w:lang w:val="en"/>
        </w:rPr>
      </w:pPr>
      <w:r>
        <w:rPr>
          <w:rFonts w:ascii="Verdana" w:hAnsi="Verdana" w:cs="Arial"/>
          <w:color w:val="333333"/>
          <w:sz w:val="20"/>
          <w:szCs w:val="20"/>
          <w:lang w:val="en"/>
        </w:rPr>
        <w:t xml:space="preserve">See </w:t>
      </w:r>
      <w:r w:rsidR="00674DAF">
        <w:rPr>
          <w:rFonts w:ascii="Verdana" w:hAnsi="Verdana" w:cs="Arial"/>
          <w:color w:val="333333"/>
          <w:sz w:val="20"/>
          <w:szCs w:val="20"/>
          <w:lang w:val="en"/>
        </w:rPr>
        <w:t>“Additional Resources” below</w:t>
      </w:r>
      <w:r>
        <w:rPr>
          <w:rFonts w:ascii="Verdana" w:hAnsi="Verdana" w:cs="Arial"/>
          <w:color w:val="333333"/>
          <w:sz w:val="20"/>
          <w:szCs w:val="20"/>
          <w:lang w:val="en"/>
        </w:rPr>
        <w:t xml:space="preserve"> for the criterion offenses included in the PROTECT Act.</w:t>
      </w:r>
    </w:p>
    <w:p w:rsidR="0044701E" w:rsidRPr="0044701E" w:rsidRDefault="0044701E" w:rsidP="0044701E">
      <w:pPr>
        <w:spacing w:after="0" w:line="240" w:lineRule="auto"/>
        <w:rPr>
          <w:rFonts w:ascii="Verdana" w:hAnsi="Verdana"/>
          <w:sz w:val="20"/>
          <w:szCs w:val="20"/>
        </w:rPr>
      </w:pPr>
    </w:p>
    <w:p w:rsidR="0044701E" w:rsidRPr="0044701E" w:rsidRDefault="0044701E" w:rsidP="0044701E">
      <w:pPr>
        <w:spacing w:after="0" w:line="240" w:lineRule="auto"/>
        <w:rPr>
          <w:rFonts w:ascii="Verdana" w:hAnsi="Verdana"/>
          <w:b/>
          <w:sz w:val="20"/>
          <w:szCs w:val="20"/>
        </w:rPr>
      </w:pPr>
      <w:r w:rsidRPr="0044701E">
        <w:rPr>
          <w:rFonts w:ascii="Verdana" w:hAnsi="Verdana"/>
          <w:b/>
          <w:sz w:val="20"/>
          <w:szCs w:val="20"/>
        </w:rPr>
        <w:t>Is there an expected cost or need for further appropriations?</w:t>
      </w:r>
    </w:p>
    <w:p w:rsidR="0044701E" w:rsidRPr="0044701E" w:rsidRDefault="00230780" w:rsidP="0044701E">
      <w:pPr>
        <w:spacing w:after="0" w:line="240" w:lineRule="auto"/>
        <w:rPr>
          <w:rFonts w:ascii="Verdana" w:hAnsi="Verdana"/>
          <w:sz w:val="20"/>
          <w:szCs w:val="20"/>
        </w:rPr>
      </w:pPr>
      <w:r>
        <w:rPr>
          <w:rFonts w:ascii="Verdana" w:hAnsi="Verdana"/>
          <w:sz w:val="20"/>
          <w:szCs w:val="20"/>
        </w:rPr>
        <w:t xml:space="preserve">Regardless of CPIA, Congress has already mandated the use of FBI checks (under the newly reauthorized </w:t>
      </w:r>
      <w:r w:rsidR="0077251F">
        <w:rPr>
          <w:rFonts w:ascii="Verdana" w:hAnsi="Verdana"/>
          <w:sz w:val="20"/>
          <w:szCs w:val="20"/>
        </w:rPr>
        <w:t>Child Care and Development</w:t>
      </w:r>
      <w:r>
        <w:rPr>
          <w:rFonts w:ascii="Verdana" w:hAnsi="Verdana"/>
          <w:sz w:val="20"/>
          <w:szCs w:val="20"/>
        </w:rPr>
        <w:t xml:space="preserve"> Act of 2014) for all child care providers that are licensed, regulated, or registered under state law or providers receiving CCDF funds. This new requirement applies to children in early learning settings as well as school-aged childcare (i.e. the elementary school grades). HHS is currently working to ensure that states are prepared to meet the new background check requirements in the law and that there is coordination with the FBI.</w:t>
      </w:r>
    </w:p>
    <w:p w:rsidR="0044701E" w:rsidRDefault="0044701E" w:rsidP="0044701E">
      <w:pPr>
        <w:spacing w:after="0" w:line="240" w:lineRule="auto"/>
        <w:rPr>
          <w:rFonts w:ascii="Verdana" w:hAnsi="Verdana"/>
          <w:sz w:val="20"/>
          <w:szCs w:val="20"/>
        </w:rPr>
      </w:pPr>
    </w:p>
    <w:p w:rsidR="00230780" w:rsidRDefault="00230780" w:rsidP="00230780">
      <w:pPr>
        <w:spacing w:after="0" w:line="240" w:lineRule="auto"/>
        <w:rPr>
          <w:rFonts w:ascii="Verdana" w:hAnsi="Verdana"/>
          <w:sz w:val="20"/>
          <w:szCs w:val="20"/>
        </w:rPr>
      </w:pPr>
      <w:r>
        <w:rPr>
          <w:rFonts w:ascii="Verdana" w:hAnsi="Verdana"/>
          <w:sz w:val="20"/>
          <w:szCs w:val="20"/>
        </w:rPr>
        <w:t>The FBI has acknowledged that a</w:t>
      </w:r>
      <w:r w:rsidRPr="0044701E">
        <w:rPr>
          <w:rFonts w:ascii="Verdana" w:hAnsi="Verdana"/>
          <w:sz w:val="20"/>
          <w:szCs w:val="20"/>
        </w:rPr>
        <w:t xml:space="preserve">lthough </w:t>
      </w:r>
      <w:r>
        <w:rPr>
          <w:rFonts w:ascii="Verdana" w:hAnsi="Verdana"/>
          <w:sz w:val="20"/>
          <w:szCs w:val="20"/>
        </w:rPr>
        <w:t>CPIA</w:t>
      </w:r>
      <w:r w:rsidRPr="0044701E">
        <w:rPr>
          <w:rFonts w:ascii="Verdana" w:hAnsi="Verdana"/>
          <w:sz w:val="20"/>
          <w:szCs w:val="20"/>
        </w:rPr>
        <w:t xml:space="preserve"> authorizes the AG to collect a fee to offset the costs of conducting the criminal history review, it is possible that establishing such a process may require additional appropriations to support the necessary staff to conduct the reviews, as well as technica</w:t>
      </w:r>
      <w:r>
        <w:rPr>
          <w:rFonts w:ascii="Verdana" w:hAnsi="Verdana"/>
          <w:sz w:val="20"/>
          <w:szCs w:val="20"/>
        </w:rPr>
        <w:t xml:space="preserve">l enhancements to the systems. Much of this will be addressed by the new CCDBG requirements. </w:t>
      </w:r>
    </w:p>
    <w:p w:rsidR="00230780" w:rsidRDefault="00230780" w:rsidP="0044701E">
      <w:pPr>
        <w:spacing w:after="0" w:line="240" w:lineRule="auto"/>
        <w:rPr>
          <w:rFonts w:ascii="Verdana" w:hAnsi="Verdana"/>
          <w:sz w:val="20"/>
          <w:szCs w:val="20"/>
        </w:rPr>
      </w:pPr>
    </w:p>
    <w:p w:rsidR="0044701E" w:rsidRPr="0044701E" w:rsidRDefault="0044701E" w:rsidP="0044701E">
      <w:pPr>
        <w:spacing w:after="0" w:line="240" w:lineRule="auto"/>
        <w:rPr>
          <w:rFonts w:ascii="Verdana" w:hAnsi="Verdana"/>
          <w:b/>
          <w:sz w:val="20"/>
          <w:szCs w:val="20"/>
        </w:rPr>
      </w:pPr>
      <w:r w:rsidRPr="0044701E">
        <w:rPr>
          <w:rFonts w:ascii="Verdana" w:hAnsi="Verdana"/>
          <w:b/>
          <w:sz w:val="20"/>
          <w:szCs w:val="20"/>
        </w:rPr>
        <w:t>Will CPIA affect private businesses that conduct national background checks?</w:t>
      </w:r>
    </w:p>
    <w:p w:rsidR="00230780" w:rsidRDefault="0044701E" w:rsidP="0044701E">
      <w:pPr>
        <w:spacing w:after="0" w:line="240" w:lineRule="auto"/>
        <w:rPr>
          <w:rFonts w:ascii="Verdana" w:hAnsi="Verdana"/>
          <w:sz w:val="20"/>
          <w:szCs w:val="20"/>
        </w:rPr>
      </w:pPr>
      <w:r>
        <w:rPr>
          <w:rFonts w:ascii="Verdana" w:hAnsi="Verdana"/>
          <w:sz w:val="20"/>
          <w:szCs w:val="20"/>
        </w:rPr>
        <w:t xml:space="preserve">While the background check screeners lobbying organization is concerned that CPIA will negatively impact their business, CPIA will likely have little impact. The new </w:t>
      </w:r>
      <w:r w:rsidR="005522BC">
        <w:rPr>
          <w:rFonts w:ascii="Verdana" w:hAnsi="Verdana"/>
          <w:sz w:val="20"/>
          <w:szCs w:val="20"/>
        </w:rPr>
        <w:t>Child Care Development Block Grant (</w:t>
      </w:r>
      <w:r>
        <w:rPr>
          <w:rFonts w:ascii="Verdana" w:hAnsi="Verdana"/>
          <w:sz w:val="20"/>
          <w:szCs w:val="20"/>
        </w:rPr>
        <w:t>CCDBG</w:t>
      </w:r>
      <w:r w:rsidR="005522BC">
        <w:rPr>
          <w:rFonts w:ascii="Verdana" w:hAnsi="Verdana"/>
          <w:sz w:val="20"/>
          <w:szCs w:val="20"/>
        </w:rPr>
        <w:t>)</w:t>
      </w:r>
      <w:r w:rsidR="00230780">
        <w:rPr>
          <w:rFonts w:ascii="Verdana" w:hAnsi="Verdana"/>
          <w:sz w:val="20"/>
          <w:szCs w:val="20"/>
        </w:rPr>
        <w:t xml:space="preserve"> Act</w:t>
      </w:r>
      <w:r w:rsidR="005522BC">
        <w:rPr>
          <w:rFonts w:ascii="Verdana" w:hAnsi="Verdana"/>
          <w:sz w:val="20"/>
          <w:szCs w:val="20"/>
        </w:rPr>
        <w:t>, reauthorized by Congress in 2014,</w:t>
      </w:r>
      <w:r>
        <w:rPr>
          <w:rFonts w:ascii="Verdana" w:hAnsi="Verdana"/>
          <w:sz w:val="20"/>
          <w:szCs w:val="20"/>
        </w:rPr>
        <w:t xml:space="preserve"> </w:t>
      </w:r>
      <w:r w:rsidR="005522BC">
        <w:rPr>
          <w:rFonts w:ascii="Verdana" w:hAnsi="Verdana"/>
          <w:sz w:val="20"/>
          <w:szCs w:val="20"/>
        </w:rPr>
        <w:t xml:space="preserve">includes new, more stringent </w:t>
      </w:r>
      <w:r>
        <w:rPr>
          <w:rFonts w:ascii="Verdana" w:hAnsi="Verdana"/>
          <w:sz w:val="20"/>
          <w:szCs w:val="20"/>
        </w:rPr>
        <w:t xml:space="preserve">requirements regarding </w:t>
      </w:r>
      <w:r w:rsidR="00230780">
        <w:rPr>
          <w:rFonts w:ascii="Verdana" w:hAnsi="Verdana"/>
          <w:sz w:val="20"/>
          <w:szCs w:val="20"/>
        </w:rPr>
        <w:t xml:space="preserve">the </w:t>
      </w:r>
      <w:r w:rsidR="005522BC">
        <w:rPr>
          <w:rFonts w:ascii="Verdana" w:hAnsi="Verdana"/>
          <w:sz w:val="20"/>
          <w:szCs w:val="20"/>
        </w:rPr>
        <w:t xml:space="preserve">screening of adults with </w:t>
      </w:r>
      <w:r w:rsidR="00230780">
        <w:rPr>
          <w:rFonts w:ascii="Verdana" w:hAnsi="Verdana"/>
          <w:sz w:val="20"/>
          <w:szCs w:val="20"/>
        </w:rPr>
        <w:t xml:space="preserve">access to </w:t>
      </w:r>
      <w:r w:rsidR="005522BC">
        <w:rPr>
          <w:rFonts w:ascii="Verdana" w:hAnsi="Verdana"/>
          <w:sz w:val="20"/>
          <w:szCs w:val="20"/>
        </w:rPr>
        <w:t>children</w:t>
      </w:r>
      <w:r w:rsidR="00230780">
        <w:rPr>
          <w:rFonts w:ascii="Verdana" w:hAnsi="Verdana"/>
          <w:sz w:val="20"/>
          <w:szCs w:val="20"/>
        </w:rPr>
        <w:t xml:space="preserve">. This new requirement </w:t>
      </w:r>
      <w:r>
        <w:rPr>
          <w:rFonts w:ascii="Verdana" w:hAnsi="Verdana"/>
          <w:sz w:val="20"/>
          <w:szCs w:val="20"/>
        </w:rPr>
        <w:t xml:space="preserve">actually </w:t>
      </w:r>
      <w:r w:rsidR="005522BC">
        <w:rPr>
          <w:rFonts w:ascii="Verdana" w:hAnsi="Verdana"/>
          <w:sz w:val="20"/>
          <w:szCs w:val="20"/>
        </w:rPr>
        <w:t>present</w:t>
      </w:r>
      <w:r w:rsidR="00230780">
        <w:rPr>
          <w:rFonts w:ascii="Verdana" w:hAnsi="Verdana"/>
          <w:sz w:val="20"/>
          <w:szCs w:val="20"/>
        </w:rPr>
        <w:t>s</w:t>
      </w:r>
      <w:r w:rsidR="005522BC">
        <w:rPr>
          <w:rFonts w:ascii="Verdana" w:hAnsi="Verdana"/>
          <w:sz w:val="20"/>
          <w:szCs w:val="20"/>
        </w:rPr>
        <w:t xml:space="preserve"> </w:t>
      </w:r>
      <w:r>
        <w:rPr>
          <w:rFonts w:ascii="Verdana" w:hAnsi="Verdana"/>
          <w:sz w:val="20"/>
          <w:szCs w:val="20"/>
        </w:rPr>
        <w:t xml:space="preserve">a business opportunity for some background check vendors. </w:t>
      </w:r>
    </w:p>
    <w:p w:rsidR="00230780" w:rsidRDefault="00230780" w:rsidP="0044701E">
      <w:pPr>
        <w:spacing w:after="0" w:line="240" w:lineRule="auto"/>
        <w:rPr>
          <w:rFonts w:ascii="Verdana" w:hAnsi="Verdana"/>
          <w:sz w:val="20"/>
          <w:szCs w:val="20"/>
        </w:rPr>
      </w:pPr>
    </w:p>
    <w:p w:rsidR="0044701E" w:rsidRDefault="0044701E" w:rsidP="0044701E">
      <w:pPr>
        <w:spacing w:after="0" w:line="240" w:lineRule="auto"/>
        <w:rPr>
          <w:rFonts w:ascii="Verdana" w:hAnsi="Verdana"/>
          <w:sz w:val="20"/>
          <w:szCs w:val="20"/>
        </w:rPr>
      </w:pPr>
      <w:r>
        <w:rPr>
          <w:rFonts w:ascii="Verdana" w:hAnsi="Verdana"/>
          <w:sz w:val="20"/>
          <w:szCs w:val="20"/>
        </w:rPr>
        <w:t xml:space="preserve">Currently, some states like Georgia and Indiana already contract with private, third party vendors to process requests (i.e. collect fingerprints/forms and fees), conduct checks, and return results. Because many states do not have the resources to administer FBI background check programs (which would require states to enroll agencies in the program, execute agreements, and audit compliance with program requirements), vendors </w:t>
      </w:r>
      <w:r w:rsidR="005522BC">
        <w:rPr>
          <w:rFonts w:ascii="Verdana" w:hAnsi="Verdana"/>
          <w:sz w:val="20"/>
          <w:szCs w:val="20"/>
        </w:rPr>
        <w:t xml:space="preserve">may </w:t>
      </w:r>
      <w:r>
        <w:rPr>
          <w:rFonts w:ascii="Verdana" w:hAnsi="Verdana"/>
          <w:sz w:val="20"/>
          <w:szCs w:val="20"/>
        </w:rPr>
        <w:t xml:space="preserve">provide a solution </w:t>
      </w:r>
      <w:r w:rsidR="005522BC">
        <w:rPr>
          <w:rFonts w:ascii="Verdana" w:hAnsi="Verdana"/>
          <w:sz w:val="20"/>
          <w:szCs w:val="20"/>
        </w:rPr>
        <w:t>for</w:t>
      </w:r>
      <w:r>
        <w:rPr>
          <w:rFonts w:ascii="Verdana" w:hAnsi="Verdana"/>
          <w:sz w:val="20"/>
          <w:szCs w:val="20"/>
        </w:rPr>
        <w:t xml:space="preserve"> states.</w:t>
      </w:r>
    </w:p>
    <w:p w:rsidR="0044701E" w:rsidRPr="0044701E" w:rsidRDefault="0044701E" w:rsidP="0044701E">
      <w:pPr>
        <w:spacing w:after="0" w:line="240" w:lineRule="auto"/>
        <w:rPr>
          <w:rFonts w:ascii="Verdana" w:hAnsi="Verdana"/>
          <w:sz w:val="20"/>
          <w:szCs w:val="20"/>
        </w:rPr>
      </w:pPr>
    </w:p>
    <w:p w:rsidR="0044701E" w:rsidRPr="0044701E" w:rsidRDefault="0044701E" w:rsidP="0044701E">
      <w:pPr>
        <w:pStyle w:val="ListParagraph"/>
        <w:rPr>
          <w:rFonts w:ascii="Verdana" w:hAnsi="Verdana"/>
          <w:sz w:val="20"/>
          <w:szCs w:val="20"/>
        </w:rPr>
      </w:pPr>
    </w:p>
    <w:p w:rsidR="0044701E" w:rsidRPr="0044701E" w:rsidRDefault="0044701E" w:rsidP="00230780">
      <w:pPr>
        <w:spacing w:after="0" w:line="240" w:lineRule="auto"/>
        <w:rPr>
          <w:rFonts w:ascii="Verdana" w:hAnsi="Verdana"/>
          <w:sz w:val="20"/>
          <w:szCs w:val="20"/>
        </w:rPr>
      </w:pPr>
    </w:p>
    <w:p w:rsidR="0044701E" w:rsidRPr="0044701E" w:rsidRDefault="0044701E" w:rsidP="00230780">
      <w:pPr>
        <w:spacing w:after="0" w:line="240" w:lineRule="auto"/>
        <w:rPr>
          <w:rFonts w:ascii="Verdana" w:hAnsi="Verdana"/>
          <w:sz w:val="20"/>
          <w:szCs w:val="20"/>
        </w:rPr>
      </w:pPr>
    </w:p>
    <w:p w:rsidR="0044701E" w:rsidRPr="0044701E" w:rsidRDefault="0044701E" w:rsidP="00230780">
      <w:pPr>
        <w:spacing w:after="0" w:line="240" w:lineRule="auto"/>
        <w:rPr>
          <w:rFonts w:ascii="Verdana" w:hAnsi="Verdana"/>
          <w:sz w:val="20"/>
          <w:szCs w:val="20"/>
        </w:rPr>
      </w:pPr>
    </w:p>
    <w:p w:rsidR="00230780" w:rsidRDefault="00230780">
      <w:pPr>
        <w:spacing w:line="276" w:lineRule="auto"/>
        <w:rPr>
          <w:b/>
          <w:bCs/>
        </w:rPr>
      </w:pPr>
      <w:r>
        <w:rPr>
          <w:b/>
          <w:bCs/>
        </w:rPr>
        <w:br w:type="page"/>
      </w:r>
    </w:p>
    <w:p w:rsidR="00C815CC" w:rsidRDefault="00C815CC" w:rsidP="00C815CC">
      <w:pPr>
        <w:pStyle w:val="Heading1"/>
      </w:pPr>
      <w:r>
        <w:t>Additional Resources</w:t>
      </w:r>
    </w:p>
    <w:p w:rsidR="00C815CC" w:rsidRDefault="00C815CC" w:rsidP="00230780">
      <w:pPr>
        <w:spacing w:after="0" w:line="240" w:lineRule="auto"/>
        <w:rPr>
          <w:b/>
          <w:bCs/>
        </w:rPr>
      </w:pPr>
    </w:p>
    <w:p w:rsidR="00230780" w:rsidRPr="00674DAF" w:rsidRDefault="00230780" w:rsidP="00230780">
      <w:pPr>
        <w:spacing w:after="0" w:line="240" w:lineRule="auto"/>
        <w:rPr>
          <w:rFonts w:ascii="Verdana" w:hAnsi="Verdana"/>
          <w:sz w:val="20"/>
          <w:szCs w:val="20"/>
        </w:rPr>
      </w:pPr>
      <w:r w:rsidRPr="00674DAF">
        <w:rPr>
          <w:rFonts w:ascii="Verdana" w:hAnsi="Verdana"/>
          <w:b/>
          <w:bCs/>
          <w:sz w:val="20"/>
          <w:szCs w:val="20"/>
        </w:rPr>
        <w:t>PROTECT Act Criterion Offenses</w:t>
      </w:r>
    </w:p>
    <w:p w:rsidR="00230780" w:rsidRPr="00674DAF" w:rsidRDefault="00230780" w:rsidP="00230780">
      <w:pPr>
        <w:spacing w:after="0" w:line="240" w:lineRule="auto"/>
        <w:rPr>
          <w:rFonts w:ascii="Verdana" w:hAnsi="Verdana"/>
          <w:sz w:val="20"/>
          <w:szCs w:val="20"/>
        </w:rPr>
      </w:pPr>
      <w:r w:rsidRPr="00674DAF">
        <w:rPr>
          <w:rFonts w:ascii="Verdana" w:hAnsi="Verdana"/>
          <w:sz w:val="20"/>
          <w:szCs w:val="20"/>
        </w:rPr>
        <w:t>Consistent with the provisions of the Protect Act, the original participants in the pilot determined that convictions for the five following crimes will result in a determination that a volunteer “does not meet” the criteria to serve as a volunteer:</w:t>
      </w:r>
    </w:p>
    <w:p w:rsidR="00230780" w:rsidRPr="00674DAF" w:rsidRDefault="00230780" w:rsidP="00230780">
      <w:pPr>
        <w:spacing w:after="0" w:line="240" w:lineRule="auto"/>
        <w:rPr>
          <w:rFonts w:ascii="Verdana" w:hAnsi="Verdana"/>
          <w:sz w:val="20"/>
          <w:szCs w:val="20"/>
        </w:rPr>
      </w:pPr>
    </w:p>
    <w:p w:rsidR="00230780" w:rsidRPr="00674DAF" w:rsidRDefault="00230780" w:rsidP="00230780">
      <w:pPr>
        <w:numPr>
          <w:ilvl w:val="0"/>
          <w:numId w:val="3"/>
        </w:numPr>
        <w:spacing w:after="0" w:line="240" w:lineRule="auto"/>
        <w:rPr>
          <w:rFonts w:ascii="Verdana" w:hAnsi="Verdana"/>
          <w:sz w:val="20"/>
          <w:szCs w:val="20"/>
        </w:rPr>
      </w:pPr>
      <w:r w:rsidRPr="00674DAF">
        <w:rPr>
          <w:rFonts w:ascii="Verdana" w:hAnsi="Verdana"/>
          <w:sz w:val="20"/>
          <w:szCs w:val="20"/>
        </w:rPr>
        <w:t>Any felony conviction (and any crime punishable by confinement greater than 1 year).</w:t>
      </w:r>
    </w:p>
    <w:p w:rsidR="00230780" w:rsidRPr="00674DAF" w:rsidRDefault="00230780" w:rsidP="00230780">
      <w:pPr>
        <w:numPr>
          <w:ilvl w:val="0"/>
          <w:numId w:val="3"/>
        </w:numPr>
        <w:spacing w:after="0" w:line="240" w:lineRule="auto"/>
        <w:rPr>
          <w:rFonts w:ascii="Verdana" w:hAnsi="Verdana"/>
          <w:sz w:val="20"/>
          <w:szCs w:val="20"/>
        </w:rPr>
      </w:pPr>
      <w:r w:rsidRPr="00674DAF">
        <w:rPr>
          <w:rFonts w:ascii="Verdana" w:hAnsi="Verdana"/>
          <w:sz w:val="20"/>
          <w:szCs w:val="20"/>
        </w:rPr>
        <w:t>Any lesser crime using force or threat of force against a person.</w:t>
      </w:r>
    </w:p>
    <w:p w:rsidR="00230780" w:rsidRPr="00674DAF" w:rsidRDefault="00230780" w:rsidP="00230780">
      <w:pPr>
        <w:numPr>
          <w:ilvl w:val="0"/>
          <w:numId w:val="3"/>
        </w:numPr>
        <w:spacing w:after="0" w:line="240" w:lineRule="auto"/>
        <w:rPr>
          <w:rFonts w:ascii="Verdana" w:hAnsi="Verdana"/>
          <w:sz w:val="20"/>
          <w:szCs w:val="20"/>
        </w:rPr>
      </w:pPr>
      <w:r w:rsidRPr="00674DAF">
        <w:rPr>
          <w:rFonts w:ascii="Verdana" w:hAnsi="Verdana"/>
          <w:sz w:val="20"/>
          <w:szCs w:val="20"/>
        </w:rPr>
        <w:t>Any lesser crime in which sexual relations is an element, including “victimless” crimes of a sexual nature.</w:t>
      </w:r>
    </w:p>
    <w:p w:rsidR="00230780" w:rsidRPr="00674DAF" w:rsidRDefault="00230780" w:rsidP="00230780">
      <w:pPr>
        <w:numPr>
          <w:ilvl w:val="0"/>
          <w:numId w:val="3"/>
        </w:numPr>
        <w:spacing w:after="0" w:line="240" w:lineRule="auto"/>
        <w:rPr>
          <w:rFonts w:ascii="Verdana" w:hAnsi="Verdana"/>
          <w:sz w:val="20"/>
          <w:szCs w:val="20"/>
        </w:rPr>
      </w:pPr>
      <w:r w:rsidRPr="00674DAF">
        <w:rPr>
          <w:rFonts w:ascii="Verdana" w:hAnsi="Verdana"/>
          <w:sz w:val="20"/>
          <w:szCs w:val="20"/>
        </w:rPr>
        <w:t>Any lesser crime involving controlled substances (not paraphernalia or alcohol).</w:t>
      </w:r>
    </w:p>
    <w:p w:rsidR="00230780" w:rsidRPr="00674DAF" w:rsidRDefault="00230780" w:rsidP="00230780">
      <w:pPr>
        <w:numPr>
          <w:ilvl w:val="0"/>
          <w:numId w:val="3"/>
        </w:numPr>
        <w:spacing w:after="0" w:line="240" w:lineRule="auto"/>
        <w:rPr>
          <w:rFonts w:ascii="Verdana" w:hAnsi="Verdana"/>
          <w:sz w:val="20"/>
          <w:szCs w:val="20"/>
        </w:rPr>
      </w:pPr>
      <w:r w:rsidRPr="00674DAF">
        <w:rPr>
          <w:rFonts w:ascii="Verdana" w:hAnsi="Verdana"/>
          <w:sz w:val="20"/>
          <w:szCs w:val="20"/>
        </w:rPr>
        <w:t>Any lesser crime involving cruelty to animals.</w:t>
      </w:r>
    </w:p>
    <w:p w:rsidR="00230780" w:rsidRPr="00674DAF" w:rsidRDefault="00230780" w:rsidP="00230780">
      <w:pPr>
        <w:spacing w:after="0" w:line="240" w:lineRule="auto"/>
        <w:rPr>
          <w:rFonts w:ascii="Verdana" w:hAnsi="Verdana"/>
          <w:sz w:val="20"/>
          <w:szCs w:val="20"/>
        </w:rPr>
      </w:pPr>
    </w:p>
    <w:p w:rsidR="00230780" w:rsidRPr="00674DAF" w:rsidRDefault="00230780" w:rsidP="00230780">
      <w:pPr>
        <w:spacing w:after="0" w:line="240" w:lineRule="auto"/>
        <w:rPr>
          <w:rFonts w:ascii="Verdana" w:hAnsi="Verdana"/>
          <w:sz w:val="20"/>
          <w:szCs w:val="20"/>
        </w:rPr>
      </w:pPr>
      <w:r w:rsidRPr="00674DAF">
        <w:rPr>
          <w:rFonts w:ascii="Verdana" w:hAnsi="Verdana"/>
          <w:sz w:val="20"/>
          <w:szCs w:val="20"/>
        </w:rPr>
        <w:t>A conviction of any of these categories automatically gives the volunteer a determination of “does not meet the criteria”.  These categories are defined as criterion offenses.  If the individual is a sex offender registrant, they will automatically be given the determination of “does not meet the criteria.”</w:t>
      </w:r>
    </w:p>
    <w:p w:rsidR="00230780" w:rsidRPr="00674DAF" w:rsidRDefault="00230780" w:rsidP="00230780">
      <w:pPr>
        <w:spacing w:after="0" w:line="240" w:lineRule="auto"/>
        <w:rPr>
          <w:rFonts w:ascii="Verdana" w:hAnsi="Verdana"/>
          <w:sz w:val="20"/>
          <w:szCs w:val="20"/>
        </w:rPr>
      </w:pPr>
    </w:p>
    <w:p w:rsidR="00230780" w:rsidRPr="00674DAF" w:rsidRDefault="00230780" w:rsidP="00230780">
      <w:pPr>
        <w:spacing w:after="0" w:line="240" w:lineRule="auto"/>
        <w:rPr>
          <w:rFonts w:ascii="Verdana" w:hAnsi="Verdana"/>
          <w:sz w:val="20"/>
          <w:szCs w:val="20"/>
        </w:rPr>
      </w:pPr>
      <w:r w:rsidRPr="00674DAF">
        <w:rPr>
          <w:rFonts w:ascii="Verdana" w:hAnsi="Verdana"/>
          <w:sz w:val="20"/>
          <w:szCs w:val="20"/>
        </w:rPr>
        <w:t xml:space="preserve">A volunteer having an </w:t>
      </w:r>
      <w:r w:rsidRPr="00674DAF">
        <w:rPr>
          <w:rFonts w:ascii="Verdana" w:hAnsi="Verdana"/>
          <w:i/>
          <w:iCs/>
          <w:sz w:val="20"/>
          <w:szCs w:val="20"/>
        </w:rPr>
        <w:t>arrest</w:t>
      </w:r>
      <w:r w:rsidRPr="00674DAF">
        <w:rPr>
          <w:rFonts w:ascii="Verdana" w:hAnsi="Verdana"/>
          <w:sz w:val="20"/>
          <w:szCs w:val="20"/>
        </w:rPr>
        <w:t xml:space="preserve"> of one or more of the criterion offenses with </w:t>
      </w:r>
      <w:r w:rsidRPr="00674DAF">
        <w:rPr>
          <w:rFonts w:ascii="Verdana" w:hAnsi="Verdana"/>
          <w:i/>
          <w:iCs/>
          <w:sz w:val="20"/>
          <w:szCs w:val="20"/>
        </w:rPr>
        <w:t>no disposition noted in the criminal history</w:t>
      </w:r>
      <w:r w:rsidRPr="00674DAF">
        <w:rPr>
          <w:rFonts w:ascii="Verdana" w:hAnsi="Verdana"/>
          <w:sz w:val="20"/>
          <w:szCs w:val="20"/>
        </w:rPr>
        <w:t xml:space="preserve"> will be assigned the determination of “may not meet the criteria.”  Additionally, any charge involving children resulting in a disposition favorable to the volunteer nonetheless with result in a determination of “may not meet the criteria.”</w:t>
      </w:r>
    </w:p>
    <w:p w:rsidR="00230780" w:rsidRPr="00674DAF" w:rsidRDefault="00230780" w:rsidP="00230780">
      <w:pPr>
        <w:spacing w:after="0" w:line="240" w:lineRule="auto"/>
        <w:rPr>
          <w:rFonts w:ascii="Verdana" w:hAnsi="Verdana"/>
          <w:sz w:val="20"/>
          <w:szCs w:val="20"/>
        </w:rPr>
      </w:pPr>
    </w:p>
    <w:p w:rsidR="00230780" w:rsidRPr="00674DAF" w:rsidRDefault="00230780" w:rsidP="00230780">
      <w:pPr>
        <w:spacing w:after="0" w:line="240" w:lineRule="auto"/>
        <w:rPr>
          <w:rFonts w:ascii="Verdana" w:hAnsi="Verdana"/>
          <w:sz w:val="20"/>
          <w:szCs w:val="20"/>
        </w:rPr>
      </w:pPr>
      <w:r w:rsidRPr="00674DAF">
        <w:rPr>
          <w:rFonts w:ascii="Verdana" w:hAnsi="Verdana"/>
          <w:sz w:val="20"/>
          <w:szCs w:val="20"/>
        </w:rPr>
        <w:t>If a volunteer has no criminal history or the crime in which the volunteer was arrested or convicted for is not a criterion offense, or the crime in which the volunteer was charged was a criterion offense and the volunteer was found not guilty, or the case was dismissed (except as noted in the above paragraph) will receive a determination of “meets the criteria.”</w:t>
      </w:r>
    </w:p>
    <w:p w:rsidR="0044701E" w:rsidRDefault="0044701E" w:rsidP="0044701E">
      <w:pPr>
        <w:spacing w:after="0" w:line="240" w:lineRule="auto"/>
        <w:rPr>
          <w:rFonts w:ascii="Verdana" w:hAnsi="Verdana"/>
          <w:sz w:val="20"/>
          <w:szCs w:val="20"/>
        </w:rPr>
      </w:pPr>
    </w:p>
    <w:p w:rsidR="007115FF" w:rsidRDefault="007115FF" w:rsidP="0044701E">
      <w:pPr>
        <w:spacing w:after="0" w:line="240" w:lineRule="auto"/>
        <w:rPr>
          <w:rFonts w:ascii="Verdana" w:hAnsi="Verdana"/>
          <w:sz w:val="20"/>
          <w:szCs w:val="20"/>
        </w:rPr>
      </w:pPr>
    </w:p>
    <w:p w:rsidR="007115FF" w:rsidRDefault="007115FF" w:rsidP="0044701E">
      <w:pPr>
        <w:spacing w:after="0" w:line="240" w:lineRule="auto"/>
        <w:rPr>
          <w:rFonts w:ascii="Verdana" w:hAnsi="Verdana"/>
          <w:sz w:val="20"/>
          <w:szCs w:val="20"/>
        </w:rPr>
      </w:pPr>
    </w:p>
    <w:p w:rsidR="007115FF" w:rsidRDefault="007115FF" w:rsidP="0044701E">
      <w:pPr>
        <w:spacing w:after="0" w:line="240" w:lineRule="auto"/>
        <w:rPr>
          <w:rFonts w:ascii="Verdana" w:hAnsi="Verdana"/>
          <w:sz w:val="20"/>
          <w:szCs w:val="20"/>
        </w:rPr>
      </w:pPr>
    </w:p>
    <w:p w:rsidR="007115FF" w:rsidRDefault="007115FF" w:rsidP="0044701E">
      <w:pPr>
        <w:spacing w:after="0" w:line="240" w:lineRule="auto"/>
        <w:rPr>
          <w:rFonts w:ascii="Verdana" w:hAnsi="Verdana"/>
          <w:sz w:val="20"/>
          <w:szCs w:val="20"/>
        </w:rPr>
      </w:pPr>
    </w:p>
    <w:p w:rsidR="007115FF" w:rsidRDefault="007115FF" w:rsidP="0044701E">
      <w:pPr>
        <w:spacing w:after="0" w:line="240" w:lineRule="auto"/>
        <w:rPr>
          <w:rFonts w:ascii="Verdana" w:hAnsi="Verdana"/>
          <w:sz w:val="20"/>
          <w:szCs w:val="20"/>
        </w:rPr>
      </w:pPr>
    </w:p>
    <w:p w:rsidR="007115FF" w:rsidRDefault="007115FF" w:rsidP="0044701E">
      <w:pPr>
        <w:spacing w:after="0" w:line="240" w:lineRule="auto"/>
        <w:rPr>
          <w:rFonts w:ascii="Verdana" w:hAnsi="Verdana"/>
          <w:sz w:val="20"/>
          <w:szCs w:val="20"/>
        </w:rPr>
      </w:pPr>
    </w:p>
    <w:p w:rsidR="007115FF" w:rsidRDefault="007115FF" w:rsidP="0044701E">
      <w:pPr>
        <w:spacing w:after="0" w:line="240" w:lineRule="auto"/>
        <w:rPr>
          <w:rFonts w:ascii="Verdana" w:hAnsi="Verdana"/>
          <w:sz w:val="20"/>
          <w:szCs w:val="20"/>
        </w:rPr>
      </w:pPr>
    </w:p>
    <w:p w:rsidR="007115FF" w:rsidRDefault="007115FF" w:rsidP="0044701E">
      <w:pPr>
        <w:spacing w:after="0" w:line="240" w:lineRule="auto"/>
        <w:rPr>
          <w:rFonts w:ascii="Verdana" w:hAnsi="Verdana"/>
          <w:sz w:val="20"/>
          <w:szCs w:val="20"/>
        </w:rPr>
      </w:pPr>
    </w:p>
    <w:p w:rsidR="007115FF" w:rsidRDefault="007115FF" w:rsidP="0044701E">
      <w:pPr>
        <w:spacing w:after="0" w:line="240" w:lineRule="auto"/>
        <w:rPr>
          <w:rFonts w:ascii="Verdana" w:hAnsi="Verdana"/>
          <w:sz w:val="20"/>
          <w:szCs w:val="20"/>
        </w:rPr>
      </w:pPr>
    </w:p>
    <w:p w:rsidR="007115FF" w:rsidRDefault="007115FF" w:rsidP="0044701E">
      <w:pPr>
        <w:spacing w:after="0" w:line="240" w:lineRule="auto"/>
        <w:rPr>
          <w:rFonts w:ascii="Verdana" w:hAnsi="Verdana"/>
          <w:sz w:val="20"/>
          <w:szCs w:val="20"/>
        </w:rPr>
      </w:pPr>
    </w:p>
    <w:p w:rsidR="007115FF" w:rsidRDefault="007115FF" w:rsidP="0044701E">
      <w:pPr>
        <w:spacing w:after="0" w:line="240" w:lineRule="auto"/>
        <w:rPr>
          <w:rFonts w:ascii="Verdana" w:hAnsi="Verdana"/>
          <w:sz w:val="20"/>
          <w:szCs w:val="20"/>
        </w:rPr>
      </w:pPr>
    </w:p>
    <w:p w:rsidR="007115FF" w:rsidRDefault="007115FF" w:rsidP="0044701E">
      <w:pPr>
        <w:spacing w:after="0" w:line="240" w:lineRule="auto"/>
        <w:rPr>
          <w:rFonts w:ascii="Verdana" w:hAnsi="Verdana"/>
          <w:sz w:val="20"/>
          <w:szCs w:val="20"/>
        </w:rPr>
      </w:pPr>
    </w:p>
    <w:p w:rsidR="007115FF" w:rsidRDefault="007115FF" w:rsidP="0044701E">
      <w:pPr>
        <w:spacing w:after="0" w:line="240" w:lineRule="auto"/>
        <w:rPr>
          <w:rFonts w:ascii="Verdana" w:hAnsi="Verdana"/>
          <w:sz w:val="20"/>
          <w:szCs w:val="20"/>
        </w:rPr>
      </w:pPr>
    </w:p>
    <w:p w:rsidR="007115FF" w:rsidRDefault="007115FF" w:rsidP="0044701E">
      <w:pPr>
        <w:spacing w:after="0" w:line="240" w:lineRule="auto"/>
        <w:rPr>
          <w:rFonts w:ascii="Verdana" w:hAnsi="Verdana"/>
          <w:sz w:val="20"/>
          <w:szCs w:val="20"/>
        </w:rPr>
      </w:pPr>
    </w:p>
    <w:p w:rsidR="007115FF" w:rsidRDefault="007115FF" w:rsidP="0044701E">
      <w:pPr>
        <w:spacing w:after="0" w:line="240" w:lineRule="auto"/>
        <w:rPr>
          <w:rFonts w:ascii="Verdana" w:hAnsi="Verdana"/>
          <w:sz w:val="20"/>
          <w:szCs w:val="20"/>
        </w:rPr>
      </w:pPr>
    </w:p>
    <w:p w:rsidR="007115FF" w:rsidRDefault="007115FF" w:rsidP="0044701E">
      <w:pPr>
        <w:spacing w:after="0" w:line="240" w:lineRule="auto"/>
        <w:rPr>
          <w:rFonts w:ascii="Verdana" w:hAnsi="Verdana"/>
          <w:sz w:val="20"/>
          <w:szCs w:val="20"/>
        </w:rPr>
      </w:pPr>
    </w:p>
    <w:p w:rsidR="007115FF" w:rsidRDefault="007115FF" w:rsidP="0044701E">
      <w:pPr>
        <w:spacing w:after="0" w:line="240" w:lineRule="auto"/>
        <w:rPr>
          <w:rFonts w:ascii="Verdana" w:hAnsi="Verdana"/>
          <w:sz w:val="20"/>
          <w:szCs w:val="20"/>
        </w:rPr>
      </w:pPr>
    </w:p>
    <w:p w:rsidR="007115FF" w:rsidRDefault="007115FF" w:rsidP="0044701E">
      <w:pPr>
        <w:spacing w:after="0" w:line="240" w:lineRule="auto"/>
        <w:rPr>
          <w:rFonts w:ascii="Verdana" w:hAnsi="Verdana"/>
          <w:sz w:val="20"/>
          <w:szCs w:val="20"/>
        </w:rPr>
      </w:pPr>
    </w:p>
    <w:p w:rsidR="007115FF" w:rsidRDefault="007115FF" w:rsidP="0044701E">
      <w:pPr>
        <w:spacing w:after="0" w:line="240" w:lineRule="auto"/>
        <w:rPr>
          <w:rFonts w:ascii="Verdana" w:hAnsi="Verdana"/>
          <w:sz w:val="20"/>
          <w:szCs w:val="20"/>
        </w:rPr>
      </w:pPr>
    </w:p>
    <w:p w:rsidR="007115FF" w:rsidRDefault="007115FF" w:rsidP="0044701E">
      <w:pPr>
        <w:spacing w:after="0" w:line="240" w:lineRule="auto"/>
        <w:rPr>
          <w:rFonts w:ascii="Verdana" w:hAnsi="Verdana"/>
          <w:sz w:val="20"/>
          <w:szCs w:val="20"/>
        </w:rPr>
      </w:pPr>
    </w:p>
    <w:p w:rsidR="007115FF" w:rsidRPr="007115FF" w:rsidRDefault="007115FF" w:rsidP="007115FF">
      <w:pPr>
        <w:spacing w:after="0" w:line="240" w:lineRule="auto"/>
        <w:jc w:val="right"/>
        <w:rPr>
          <w:rFonts w:ascii="Verdana" w:hAnsi="Verdana"/>
          <w:color w:val="808080" w:themeColor="background1" w:themeShade="80"/>
          <w:sz w:val="20"/>
          <w:szCs w:val="20"/>
        </w:rPr>
      </w:pPr>
      <w:r w:rsidRPr="007115FF">
        <w:rPr>
          <w:rFonts w:ascii="Verdana" w:hAnsi="Verdana"/>
          <w:color w:val="808080" w:themeColor="background1" w:themeShade="80"/>
          <w:sz w:val="20"/>
          <w:szCs w:val="20"/>
        </w:rPr>
        <w:t>FAQ developed by YMCA of the USA</w:t>
      </w:r>
    </w:p>
    <w:sectPr w:rsidR="007115FF" w:rsidRPr="007115FF" w:rsidSect="00602D3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00B8" w:rsidRDefault="00CA00B8" w:rsidP="00DF3083">
      <w:pPr>
        <w:spacing w:after="0" w:line="240" w:lineRule="auto"/>
      </w:pPr>
      <w:r>
        <w:separator/>
      </w:r>
    </w:p>
  </w:endnote>
  <w:endnote w:type="continuationSeparator" w:id="0">
    <w:p w:rsidR="00CA00B8" w:rsidRDefault="00CA00B8" w:rsidP="00DF3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chet Book">
    <w:charset w:val="00"/>
    <w:family w:val="swiss"/>
    <w:pitch w:val="variable"/>
    <w:sig w:usb0="00000007"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1142698"/>
      <w:docPartObj>
        <w:docPartGallery w:val="Page Numbers (Bottom of Page)"/>
        <w:docPartUnique/>
      </w:docPartObj>
    </w:sdtPr>
    <w:sdtEndPr>
      <w:rPr>
        <w:noProof/>
      </w:rPr>
    </w:sdtEndPr>
    <w:sdtContent>
      <w:p w:rsidR="00DF3083" w:rsidRDefault="00DF3083">
        <w:pPr>
          <w:pStyle w:val="Footer"/>
          <w:jc w:val="right"/>
        </w:pPr>
        <w:r>
          <w:fldChar w:fldCharType="begin"/>
        </w:r>
        <w:r>
          <w:instrText xml:space="preserve"> PAGE   \* MERGEFORMAT </w:instrText>
        </w:r>
        <w:r>
          <w:fldChar w:fldCharType="separate"/>
        </w:r>
        <w:r w:rsidR="009B7357">
          <w:rPr>
            <w:noProof/>
          </w:rPr>
          <w:t>1</w:t>
        </w:r>
        <w:r>
          <w:rPr>
            <w:noProof/>
          </w:rPr>
          <w:fldChar w:fldCharType="end"/>
        </w:r>
      </w:p>
    </w:sdtContent>
  </w:sdt>
  <w:p w:rsidR="00DF3083" w:rsidRDefault="00DF30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00B8" w:rsidRDefault="00CA00B8" w:rsidP="00DF3083">
      <w:pPr>
        <w:spacing w:after="0" w:line="240" w:lineRule="auto"/>
      </w:pPr>
      <w:r>
        <w:separator/>
      </w:r>
    </w:p>
  </w:footnote>
  <w:footnote w:type="continuationSeparator" w:id="0">
    <w:p w:rsidR="00CA00B8" w:rsidRDefault="00CA00B8" w:rsidP="00DF30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F91576"/>
    <w:multiLevelType w:val="hybridMultilevel"/>
    <w:tmpl w:val="3342C502"/>
    <w:lvl w:ilvl="0" w:tplc="E834BB6A">
      <w:start w:val="1"/>
      <w:numFmt w:val="bullet"/>
      <w:lvlText w:val=""/>
      <w:lvlJc w:val="left"/>
      <w:pPr>
        <w:tabs>
          <w:tab w:val="num" w:pos="720"/>
        </w:tabs>
        <w:ind w:left="720" w:hanging="57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846928"/>
    <w:multiLevelType w:val="hybridMultilevel"/>
    <w:tmpl w:val="06EE2B4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30D51A81"/>
    <w:multiLevelType w:val="hybridMultilevel"/>
    <w:tmpl w:val="EE56F7DC"/>
    <w:lvl w:ilvl="0" w:tplc="E834BB6A">
      <w:start w:val="1"/>
      <w:numFmt w:val="bullet"/>
      <w:lvlText w:val=""/>
      <w:lvlJc w:val="left"/>
      <w:pPr>
        <w:tabs>
          <w:tab w:val="num" w:pos="720"/>
        </w:tabs>
        <w:ind w:left="720" w:hanging="57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123395E"/>
    <w:multiLevelType w:val="hybridMultilevel"/>
    <w:tmpl w:val="37C63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107E58"/>
    <w:multiLevelType w:val="hybridMultilevel"/>
    <w:tmpl w:val="6F6C235E"/>
    <w:lvl w:ilvl="0" w:tplc="2772962E">
      <w:start w:val="1"/>
      <w:numFmt w:val="bullet"/>
      <w:lvlText w:val="•"/>
      <w:lvlJc w:val="left"/>
      <w:pPr>
        <w:tabs>
          <w:tab w:val="num" w:pos="720"/>
        </w:tabs>
        <w:ind w:left="720" w:hanging="360"/>
      </w:pPr>
      <w:rPr>
        <w:rFonts w:ascii="Arial" w:hAnsi="Arial" w:hint="default"/>
      </w:rPr>
    </w:lvl>
    <w:lvl w:ilvl="1" w:tplc="D18454C8" w:tentative="1">
      <w:start w:val="1"/>
      <w:numFmt w:val="bullet"/>
      <w:lvlText w:val="•"/>
      <w:lvlJc w:val="left"/>
      <w:pPr>
        <w:tabs>
          <w:tab w:val="num" w:pos="1440"/>
        </w:tabs>
        <w:ind w:left="1440" w:hanging="360"/>
      </w:pPr>
      <w:rPr>
        <w:rFonts w:ascii="Arial" w:hAnsi="Arial" w:hint="default"/>
      </w:rPr>
    </w:lvl>
    <w:lvl w:ilvl="2" w:tplc="06089E4A" w:tentative="1">
      <w:start w:val="1"/>
      <w:numFmt w:val="bullet"/>
      <w:lvlText w:val="•"/>
      <w:lvlJc w:val="left"/>
      <w:pPr>
        <w:tabs>
          <w:tab w:val="num" w:pos="2160"/>
        </w:tabs>
        <w:ind w:left="2160" w:hanging="360"/>
      </w:pPr>
      <w:rPr>
        <w:rFonts w:ascii="Arial" w:hAnsi="Arial" w:hint="default"/>
      </w:rPr>
    </w:lvl>
    <w:lvl w:ilvl="3" w:tplc="FB1619AC" w:tentative="1">
      <w:start w:val="1"/>
      <w:numFmt w:val="bullet"/>
      <w:lvlText w:val="•"/>
      <w:lvlJc w:val="left"/>
      <w:pPr>
        <w:tabs>
          <w:tab w:val="num" w:pos="2880"/>
        </w:tabs>
        <w:ind w:left="2880" w:hanging="360"/>
      </w:pPr>
      <w:rPr>
        <w:rFonts w:ascii="Arial" w:hAnsi="Arial" w:hint="default"/>
      </w:rPr>
    </w:lvl>
    <w:lvl w:ilvl="4" w:tplc="4C3AA92C" w:tentative="1">
      <w:start w:val="1"/>
      <w:numFmt w:val="bullet"/>
      <w:lvlText w:val="•"/>
      <w:lvlJc w:val="left"/>
      <w:pPr>
        <w:tabs>
          <w:tab w:val="num" w:pos="3600"/>
        </w:tabs>
        <w:ind w:left="3600" w:hanging="360"/>
      </w:pPr>
      <w:rPr>
        <w:rFonts w:ascii="Arial" w:hAnsi="Arial" w:hint="default"/>
      </w:rPr>
    </w:lvl>
    <w:lvl w:ilvl="5" w:tplc="7AFA4262" w:tentative="1">
      <w:start w:val="1"/>
      <w:numFmt w:val="bullet"/>
      <w:lvlText w:val="•"/>
      <w:lvlJc w:val="left"/>
      <w:pPr>
        <w:tabs>
          <w:tab w:val="num" w:pos="4320"/>
        </w:tabs>
        <w:ind w:left="4320" w:hanging="360"/>
      </w:pPr>
      <w:rPr>
        <w:rFonts w:ascii="Arial" w:hAnsi="Arial" w:hint="default"/>
      </w:rPr>
    </w:lvl>
    <w:lvl w:ilvl="6" w:tplc="18327F40" w:tentative="1">
      <w:start w:val="1"/>
      <w:numFmt w:val="bullet"/>
      <w:lvlText w:val="•"/>
      <w:lvlJc w:val="left"/>
      <w:pPr>
        <w:tabs>
          <w:tab w:val="num" w:pos="5040"/>
        </w:tabs>
        <w:ind w:left="5040" w:hanging="360"/>
      </w:pPr>
      <w:rPr>
        <w:rFonts w:ascii="Arial" w:hAnsi="Arial" w:hint="default"/>
      </w:rPr>
    </w:lvl>
    <w:lvl w:ilvl="7" w:tplc="17C2B198" w:tentative="1">
      <w:start w:val="1"/>
      <w:numFmt w:val="bullet"/>
      <w:lvlText w:val="•"/>
      <w:lvlJc w:val="left"/>
      <w:pPr>
        <w:tabs>
          <w:tab w:val="num" w:pos="5760"/>
        </w:tabs>
        <w:ind w:left="5760" w:hanging="360"/>
      </w:pPr>
      <w:rPr>
        <w:rFonts w:ascii="Arial" w:hAnsi="Arial" w:hint="default"/>
      </w:rPr>
    </w:lvl>
    <w:lvl w:ilvl="8" w:tplc="A0C8CA0C"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01E"/>
    <w:rsid w:val="00102AEE"/>
    <w:rsid w:val="002106FC"/>
    <w:rsid w:val="00230780"/>
    <w:rsid w:val="00413F7D"/>
    <w:rsid w:val="0044701E"/>
    <w:rsid w:val="005522BC"/>
    <w:rsid w:val="00555752"/>
    <w:rsid w:val="00602D39"/>
    <w:rsid w:val="00674DAF"/>
    <w:rsid w:val="007115FF"/>
    <w:rsid w:val="00721F1C"/>
    <w:rsid w:val="0077251F"/>
    <w:rsid w:val="009234BD"/>
    <w:rsid w:val="00976217"/>
    <w:rsid w:val="009B7357"/>
    <w:rsid w:val="00AC3D43"/>
    <w:rsid w:val="00B94313"/>
    <w:rsid w:val="00C815CC"/>
    <w:rsid w:val="00CA00B8"/>
    <w:rsid w:val="00CA113D"/>
    <w:rsid w:val="00CD39E2"/>
    <w:rsid w:val="00DF3083"/>
    <w:rsid w:val="00EA03DE"/>
    <w:rsid w:val="00FF5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6CDE9"/>
  <w15:docId w15:val="{0719DF30-0C9D-4938-8846-E981509A6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FC"/>
    <w:pPr>
      <w:spacing w:line="360" w:lineRule="auto"/>
    </w:pPr>
    <w:rPr>
      <w:rFonts w:ascii="Calibri" w:hAnsi="Calibri"/>
    </w:rPr>
  </w:style>
  <w:style w:type="paragraph" w:styleId="Heading1">
    <w:name w:val="heading 1"/>
    <w:basedOn w:val="Normal"/>
    <w:next w:val="Normal"/>
    <w:link w:val="Heading1Char"/>
    <w:uiPriority w:val="9"/>
    <w:qFormat/>
    <w:rsid w:val="00C815C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701E"/>
    <w:pPr>
      <w:spacing w:after="0" w:line="240" w:lineRule="auto"/>
      <w:ind w:left="720"/>
    </w:pPr>
    <w:rPr>
      <w:rFonts w:ascii="Courier New" w:eastAsia="SimSun" w:hAnsi="Courier New" w:cs="Times New Roman"/>
      <w:sz w:val="24"/>
      <w:szCs w:val="24"/>
      <w:lang w:eastAsia="zh-CN"/>
    </w:rPr>
  </w:style>
  <w:style w:type="paragraph" w:customStyle="1" w:styleId="1Paragraph">
    <w:name w:val="1Paragraph"/>
    <w:rsid w:val="0044701E"/>
    <w:pPr>
      <w:tabs>
        <w:tab w:val="left" w:pos="720"/>
      </w:tabs>
      <w:autoSpaceDE w:val="0"/>
      <w:autoSpaceDN w:val="0"/>
      <w:adjustRightInd w:val="0"/>
      <w:spacing w:after="0" w:line="240" w:lineRule="auto"/>
      <w:ind w:left="720" w:hanging="720"/>
    </w:pPr>
    <w:rPr>
      <w:rFonts w:ascii="Times New Roman" w:eastAsia="SimSun" w:hAnsi="Times New Roman" w:cs="Times New Roman"/>
      <w:sz w:val="24"/>
      <w:szCs w:val="24"/>
      <w:lang w:eastAsia="zh-CN"/>
    </w:rPr>
  </w:style>
  <w:style w:type="character" w:styleId="CommentReference">
    <w:name w:val="annotation reference"/>
    <w:basedOn w:val="DefaultParagraphFont"/>
    <w:uiPriority w:val="99"/>
    <w:semiHidden/>
    <w:unhideWhenUsed/>
    <w:rsid w:val="0044701E"/>
    <w:rPr>
      <w:sz w:val="16"/>
      <w:szCs w:val="16"/>
    </w:rPr>
  </w:style>
  <w:style w:type="paragraph" w:styleId="CommentText">
    <w:name w:val="annotation text"/>
    <w:basedOn w:val="Normal"/>
    <w:link w:val="CommentTextChar"/>
    <w:uiPriority w:val="99"/>
    <w:semiHidden/>
    <w:unhideWhenUsed/>
    <w:rsid w:val="0044701E"/>
    <w:pPr>
      <w:spacing w:line="240" w:lineRule="auto"/>
    </w:pPr>
    <w:rPr>
      <w:sz w:val="20"/>
      <w:szCs w:val="20"/>
    </w:rPr>
  </w:style>
  <w:style w:type="character" w:customStyle="1" w:styleId="CommentTextChar">
    <w:name w:val="Comment Text Char"/>
    <w:basedOn w:val="DefaultParagraphFont"/>
    <w:link w:val="CommentText"/>
    <w:uiPriority w:val="99"/>
    <w:semiHidden/>
    <w:rsid w:val="0044701E"/>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44701E"/>
    <w:rPr>
      <w:b/>
      <w:bCs/>
    </w:rPr>
  </w:style>
  <w:style w:type="character" w:customStyle="1" w:styleId="CommentSubjectChar">
    <w:name w:val="Comment Subject Char"/>
    <w:basedOn w:val="CommentTextChar"/>
    <w:link w:val="CommentSubject"/>
    <w:uiPriority w:val="99"/>
    <w:semiHidden/>
    <w:rsid w:val="0044701E"/>
    <w:rPr>
      <w:rFonts w:ascii="Calibri" w:hAnsi="Calibri"/>
      <w:b/>
      <w:bCs/>
      <w:sz w:val="20"/>
      <w:szCs w:val="20"/>
    </w:rPr>
  </w:style>
  <w:style w:type="paragraph" w:styleId="BalloonText">
    <w:name w:val="Balloon Text"/>
    <w:basedOn w:val="Normal"/>
    <w:link w:val="BalloonTextChar"/>
    <w:uiPriority w:val="99"/>
    <w:semiHidden/>
    <w:unhideWhenUsed/>
    <w:rsid w:val="004470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01E"/>
    <w:rPr>
      <w:rFonts w:ascii="Tahoma" w:hAnsi="Tahoma" w:cs="Tahoma"/>
      <w:sz w:val="16"/>
      <w:szCs w:val="16"/>
    </w:rPr>
  </w:style>
  <w:style w:type="character" w:styleId="Hyperlink">
    <w:name w:val="Hyperlink"/>
    <w:basedOn w:val="DefaultParagraphFont"/>
    <w:uiPriority w:val="99"/>
    <w:semiHidden/>
    <w:unhideWhenUsed/>
    <w:rsid w:val="0044701E"/>
    <w:rPr>
      <w:color w:val="3366CC"/>
      <w:u w:val="single"/>
    </w:rPr>
  </w:style>
  <w:style w:type="character" w:customStyle="1" w:styleId="Heading1Char">
    <w:name w:val="Heading 1 Char"/>
    <w:basedOn w:val="DefaultParagraphFont"/>
    <w:link w:val="Heading1"/>
    <w:uiPriority w:val="9"/>
    <w:rsid w:val="00C815CC"/>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DF30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3083"/>
    <w:rPr>
      <w:rFonts w:ascii="Calibri" w:hAnsi="Calibri"/>
    </w:rPr>
  </w:style>
  <w:style w:type="paragraph" w:styleId="Footer">
    <w:name w:val="footer"/>
    <w:basedOn w:val="Normal"/>
    <w:link w:val="FooterChar"/>
    <w:uiPriority w:val="99"/>
    <w:unhideWhenUsed/>
    <w:rsid w:val="00DF30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3083"/>
    <w:rPr>
      <w:rFonts w:ascii="Calibri" w:hAnsi="Calibri"/>
    </w:rPr>
  </w:style>
  <w:style w:type="paragraph" w:customStyle="1" w:styleId="Default">
    <w:name w:val="Default"/>
    <w:rsid w:val="00CA113D"/>
    <w:pPr>
      <w:autoSpaceDE w:val="0"/>
      <w:autoSpaceDN w:val="0"/>
      <w:adjustRightInd w:val="0"/>
      <w:spacing w:after="0" w:line="240" w:lineRule="auto"/>
    </w:pPr>
    <w:rPr>
      <w:rFonts w:ascii="Cachet Book" w:hAnsi="Cachet Book" w:cs="Cachet Boo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915825">
      <w:bodyDiv w:val="1"/>
      <w:marLeft w:val="0"/>
      <w:marRight w:val="0"/>
      <w:marTop w:val="0"/>
      <w:marBottom w:val="0"/>
      <w:divBdr>
        <w:top w:val="none" w:sz="0" w:space="0" w:color="auto"/>
        <w:left w:val="none" w:sz="0" w:space="0" w:color="auto"/>
        <w:bottom w:val="none" w:sz="0" w:space="0" w:color="auto"/>
        <w:right w:val="none" w:sz="0" w:space="0" w:color="auto"/>
      </w:divBdr>
      <w:divsChild>
        <w:div w:id="673530516">
          <w:marLeft w:val="547"/>
          <w:marRight w:val="0"/>
          <w:marTop w:val="0"/>
          <w:marBottom w:val="0"/>
          <w:divBdr>
            <w:top w:val="none" w:sz="0" w:space="0" w:color="auto"/>
            <w:left w:val="none" w:sz="0" w:space="0" w:color="auto"/>
            <w:bottom w:val="none" w:sz="0" w:space="0" w:color="auto"/>
            <w:right w:val="none" w:sz="0" w:space="0" w:color="auto"/>
          </w:divBdr>
        </w:div>
        <w:div w:id="1158302252">
          <w:marLeft w:val="547"/>
          <w:marRight w:val="0"/>
          <w:marTop w:val="0"/>
          <w:marBottom w:val="0"/>
          <w:divBdr>
            <w:top w:val="none" w:sz="0" w:space="0" w:color="auto"/>
            <w:left w:val="none" w:sz="0" w:space="0" w:color="auto"/>
            <w:bottom w:val="none" w:sz="0" w:space="0" w:color="auto"/>
            <w:right w:val="none" w:sz="0" w:space="0" w:color="auto"/>
          </w:divBdr>
        </w:div>
        <w:div w:id="92727077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rwebgate.access.gpo.gov/cgi-bin/getdoc.cgi?dbname=111_cong_public_laws&amp;docid=f:publ013.111.pdf" TargetMode="External"/><Relationship Id="rId3" Type="http://schemas.openxmlformats.org/officeDocument/2006/relationships/settings" Target="settings.xml"/><Relationship Id="rId7" Type="http://schemas.openxmlformats.org/officeDocument/2006/relationships/hyperlink" Target="http://frwebgate.access.gpo.gov/cgi-bin/getdoc.cgi?dbname=105_cong_public_laws&amp;docid=f:publ251.105.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frwebgate.access.gpo.gov/cgi-bin/getdoc.cgi?dbname=109_cong_public_laws&amp;docid=f:publ248.10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1848</Words>
  <Characters>10535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YMCA of the USA</Company>
  <LinksUpToDate>false</LinksUpToDate>
  <CharactersWithSpaces>12359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Rocha, Elena</dc:creator>
  <cp:lastModifiedBy>aevans</cp:lastModifiedBy>
  <cp:revision>2</cp:revision>
  <cp:lastPrinted>2015-11-30T15:33:00Z</cp:lastPrinted>
  <dcterms:created xsi:type="dcterms:W3CDTF">2016-05-02T17:34:00Z</dcterms:created>
  <dcterms:modified xsi:type="dcterms:W3CDTF">2016-05-02T17:34:00Z</dcterms:modified>
</cp:coreProperties>
</file>